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pBdr>
          <w:top w:val="none" w:color="auto" w:sz="0" w:space="0"/>
          <w:left w:val="none" w:color="auto" w:sz="0" w:space="0"/>
          <w:bottom w:val="none" w:color="auto" w:sz="0" w:space="0"/>
          <w:right w:val="none" w:color="auto" w:sz="0" w:space="0"/>
        </w:pBdr>
        <w:shd w:val="clear" w:fill="FFFFFF"/>
        <w:ind w:left="0" w:firstLine="0"/>
        <w:jc w:val="left"/>
        <w:rPr>
          <w:rFonts w:hint="eastAsia" w:ascii="微软雅黑" w:hAnsi="微软雅黑" w:eastAsia="微软雅黑" w:cs="微软雅黑"/>
          <w:b/>
          <w:i w:val="0"/>
          <w:caps w:val="0"/>
          <w:color w:val="2B2B2B"/>
          <w:sz w:val="28"/>
          <w:szCs w:val="28"/>
          <w:u w:val="none"/>
        </w:rPr>
      </w:pPr>
      <w:r>
        <w:rPr>
          <w:rFonts w:hint="eastAsia" w:ascii="微软雅黑" w:hAnsi="微软雅黑" w:eastAsia="微软雅黑" w:cs="微软雅黑"/>
          <w:b/>
          <w:i w:val="0"/>
          <w:caps w:val="0"/>
          <w:color w:val="2B2B2B"/>
          <w:kern w:val="0"/>
          <w:sz w:val="28"/>
          <w:szCs w:val="28"/>
          <w:u w:val="none"/>
          <w:shd w:val="clear" w:fill="FFFFFF"/>
          <w:lang w:val="en-US" w:eastAsia="zh-CN" w:bidi="ar"/>
        </w:rPr>
        <w:t>电力供应与使用条例(2016修订)</w:t>
      </w:r>
    </w:p>
    <w:p>
      <w:pPr>
        <w:widowControl/>
        <w:pBdr>
          <w:top w:val="none" w:color="auto" w:sz="0" w:space="0"/>
          <w:left w:val="none" w:color="auto" w:sz="0" w:space="0"/>
          <w:bottom w:val="none" w:color="auto" w:sz="0" w:space="0"/>
          <w:right w:val="none" w:color="auto" w:sz="0" w:space="0"/>
        </w:pBdr>
        <w:shd w:val="clear" w:fill="FFFFFF"/>
        <w:ind w:left="0" w:firstLine="0"/>
        <w:jc w:val="left"/>
        <w:rPr>
          <w:rFonts w:hint="eastAsia" w:ascii="微软雅黑" w:hAnsi="微软雅黑" w:eastAsia="微软雅黑" w:cs="微软雅黑"/>
          <w:b w:val="0"/>
          <w:i w:val="0"/>
          <w:caps w:val="0"/>
          <w:color w:val="979696"/>
          <w:spacing w:val="0"/>
          <w:sz w:val="28"/>
          <w:szCs w:val="28"/>
          <w:u w:val="none"/>
        </w:rPr>
      </w:pPr>
      <w:r>
        <w:rPr>
          <w:rFonts w:hint="eastAsia" w:ascii="微软雅黑" w:hAnsi="微软雅黑" w:eastAsia="微软雅黑" w:cs="微软雅黑"/>
          <w:b w:val="0"/>
          <w:i w:val="0"/>
          <w:caps w:val="0"/>
          <w:color w:val="979696"/>
          <w:spacing w:val="0"/>
          <w:kern w:val="0"/>
          <w:sz w:val="28"/>
          <w:szCs w:val="28"/>
          <w:u w:val="none"/>
          <w:shd w:val="clear" w:fill="FFFFFF"/>
          <w:lang w:val="en-US" w:eastAsia="zh-CN" w:bidi="ar"/>
        </w:rPr>
        <w:t>发布：2016-02-06实施：1996-09-01</w:t>
      </w:r>
      <w:r>
        <w:rPr>
          <w:rFonts w:hint="eastAsia" w:ascii="微软雅黑" w:hAnsi="微软雅黑" w:eastAsia="微软雅黑" w:cs="微软雅黑"/>
          <w:b w:val="0"/>
          <w:i w:val="0"/>
          <w:caps w:val="0"/>
          <w:color w:val="65B12C"/>
          <w:spacing w:val="0"/>
          <w:kern w:val="0"/>
          <w:sz w:val="28"/>
          <w:szCs w:val="28"/>
          <w:u w:val="none"/>
          <w:bdr w:val="single" w:color="D7EFC6" w:sz="6" w:space="0"/>
          <w:shd w:val="clear" w:fill="FFFFFF"/>
          <w:lang w:val="en-US" w:eastAsia="zh-CN" w:bidi="ar"/>
        </w:rPr>
        <w:t>现行有效</w:t>
      </w:r>
    </w:p>
    <w:p>
      <w:pPr>
        <w:widowControl/>
        <w:pBdr>
          <w:top w:val="none" w:color="auto" w:sz="0" w:space="0"/>
          <w:left w:val="none" w:color="auto" w:sz="0" w:space="0"/>
          <w:bottom w:val="none" w:color="auto" w:sz="0" w:space="0"/>
          <w:right w:val="none" w:color="auto" w:sz="0" w:space="0"/>
        </w:pBdr>
        <w:shd w:val="clear" w:fill="F8F8F8"/>
        <w:ind w:lef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8F8F8"/>
          <w:lang w:val="en-US" w:eastAsia="zh-CN" w:bidi="ar"/>
        </w:rPr>
        <w:t>法律修订</w:t>
      </w:r>
    </w:p>
    <w:p>
      <w:pPr>
        <w:pStyle w:val="4"/>
        <w:widowControl/>
        <w:pBdr>
          <w:top w:val="none" w:color="auto" w:sz="0" w:space="0"/>
          <w:left w:val="none" w:color="auto" w:sz="0" w:space="0"/>
          <w:bottom w:val="none" w:color="auto" w:sz="0" w:space="0"/>
          <w:right w:val="none" w:color="auto" w:sz="0" w:space="0"/>
        </w:pBdr>
        <w:spacing w:beforeAutospacing="0" w:after="0" w:afterAutospacing="0"/>
        <w:ind w:left="0" w:right="0"/>
        <w:rPr>
          <w:rFonts w:hint="eastAsia" w:ascii="微软雅黑" w:hAnsi="微软雅黑" w:eastAsia="微软雅黑" w:cs="微软雅黑"/>
          <w:sz w:val="28"/>
          <w:szCs w:val="28"/>
        </w:rPr>
      </w:pPr>
      <w:r>
        <w:rPr>
          <w:rFonts w:hint="eastAsia" w:ascii="微软雅黑" w:hAnsi="微软雅黑" w:eastAsia="微软雅黑" w:cs="微软雅黑"/>
          <w:b w:val="0"/>
          <w:i w:val="0"/>
          <w:caps w:val="0"/>
          <w:color w:val="676767"/>
          <w:spacing w:val="0"/>
          <w:sz w:val="28"/>
          <w:szCs w:val="28"/>
          <w:u w:val="none"/>
          <w:shd w:val="clear" w:fill="F8F8F8"/>
        </w:rPr>
        <w:t>1996年4月17日中华人民共和国国务院令第196号发布</w:t>
      </w:r>
    </w:p>
    <w:p>
      <w:pPr>
        <w:pStyle w:val="4"/>
        <w:widowControl/>
        <w:pBdr>
          <w:top w:val="none" w:color="auto" w:sz="0" w:space="0"/>
          <w:left w:val="none" w:color="auto" w:sz="0" w:space="0"/>
          <w:bottom w:val="none" w:color="auto" w:sz="0" w:space="0"/>
          <w:right w:val="none" w:color="auto" w:sz="0" w:space="0"/>
        </w:pBdr>
        <w:spacing w:beforeAutospacing="0" w:after="0" w:afterAutospacing="0"/>
        <w:ind w:left="0" w:right="0"/>
        <w:rPr>
          <w:rFonts w:hint="eastAsia" w:ascii="微软雅黑" w:hAnsi="微软雅黑" w:eastAsia="微软雅黑" w:cs="微软雅黑"/>
          <w:sz w:val="28"/>
          <w:szCs w:val="28"/>
        </w:rPr>
      </w:pPr>
      <w:r>
        <w:rPr>
          <w:rFonts w:hint="eastAsia" w:ascii="微软雅黑" w:hAnsi="微软雅黑" w:eastAsia="微软雅黑" w:cs="微软雅黑"/>
          <w:b w:val="0"/>
          <w:i w:val="0"/>
          <w:caps w:val="0"/>
          <w:color w:val="676767"/>
          <w:spacing w:val="0"/>
          <w:sz w:val="28"/>
          <w:szCs w:val="28"/>
          <w:u w:val="none"/>
          <w:shd w:val="clear" w:fill="F8F8F8"/>
        </w:rPr>
        <w:t>根据2016年2月6日《国务院关于修改部分行政法规的决定》修订</w:t>
      </w:r>
    </w:p>
    <w:p>
      <w:pPr>
        <w:widowControl/>
        <w:pBdr>
          <w:top w:val="none" w:color="auto" w:sz="0" w:space="0"/>
          <w:left w:val="none" w:color="auto" w:sz="0" w:space="0"/>
          <w:bottom w:val="none" w:color="auto" w:sz="0" w:space="0"/>
          <w:right w:val="none" w:color="auto" w:sz="0" w:space="0"/>
        </w:pBdr>
        <w:shd w:val="clear" w:fill="FFFFFF"/>
        <w:ind w:lef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正文</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第一章　总则</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第一条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为了加强电力供应与使用的管理，保障供电、用电双方的合法权益，维护供电、用电秩序，安全、经济、合理地供电和用电，根据《中华人民共和国电力法》制定本条例。</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在中华人民共和国境内，电力供应企业（以下称供电企业）和电力使用者（以下称用户）以及与电力供应、使用有关的单位和个人，必须遵守本条例。</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国务院电力管理部门负责全国电力供应与使用的监督管理工作。 县级以上地方人民政府电力管理部门负责本行政区域内电力供应与使用的监督管理工作。</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电网经营企业依法负责本供区内的电力供应与使用的业务工作，并接受电力管理部门的监督。</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第五条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国家对电力供应和使用实行安全用电、节约用电、计划用电的管理原则。 供电企业和用户应当遵守国家有关规定，采取有效措施，做好安全用电、节约用电、计划用电工作。</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第六条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供电企业和用户应当根据平等自愿、协商一致的原则签订供用电合同。</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第七条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电力管理部门应当加强对供用电的监督管理，协调供用电各方关系，禁止危害供用电安全和非法侵占电能的行为。</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第二章　供电营业区</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第八条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供电企业在批准的供电营业区内向用户供电。 供电营业区的划分，应当考虑电网的结构和供电合理性等因素。一个供电营业区内只设立一个供电营业机构。</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第九条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省、自治区、直辖市范围内的供电营业区的设立、变更，由供电企业提出申请，经省、自治区、直辖市人民政府电力管理部门会同同级有关部门审查批准后，由省、自治区、直辖市人民政府电力管理部门发给《供电营业许可证》。跨省、自治区、直辖市的供电营业区的设立、变更，由国务院电力管理部门审查批准并发给《供电营业许可证》。 电网经营企业应当根据电网结构和供电合理性的原则协助电力管理部门划分供电营业区。 供电营业区的划分和管理办法，由国务院电力管理部门制定。</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并网运行的电力生产企业按照并网协议运行后，送入电网的电力、电量由供电营业机构统一经销。</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第十一条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用户用电容量超过其所在的供电营业区内供电企业供电能力的，由省级以上电力管理部门指定的其他供电企业供电。</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第三章　供电设施</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第十二条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县级以上各级人民政府应当将城乡电网的建设与改造规划，纳入城市建设和乡村建设的总体规划。各级电力管理部门应当会同有关行政主管部门和电网经营企业做好城乡电网建设和改造的规划。供电企业应当按照规划做好供电设施建设和运行管理工作。</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第十三条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地方各级人民政府应当按照城市建设和乡村建设的总体规划统筹安排城乡供电线路走廊、电缆通道、区域变电所、区域配电所和营业网点的用地。 供电企业可以按照国家有关规定在规划的线路走廊、电缆通道、区域变电所、区域配电所和营业网点的用地上，架线、敷设电缆和建设公用供电设施。</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第十四条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公用路灯由乡、民族乡、镇人民政府或者县级以上地方人民政府有关部门负责建设，并负责运行维护和交付电费，也可以委托供电企业代为有偿设计、施工和维护管理。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第十五条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供电设施、受电设施的设计、施工、试验和运行，应当符合国家标准或者电力行业标准。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第十六条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企业和用户对供电设施、受电设施进行建设和维护时，作业区域内的有关单位和个人应当给予协助，提供方便；因作业对建筑物或者农作造成损坏的，应当依照有关法律、行政法规的规定负责修复或者给予合理的补偿。</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第十七条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公用供电设施建成投产后，由供电单位统一维护管理。经电力管理部门批准，供电企业可以使用、改造、扩建该供电设施。 共用供电设施的维护管理，由产权单位协商确定，产权单位可自行维护管理，也可以委托供电企业维护管理。 用户专用的供电设施建成投产后，由用户维护管理或者委托供电企业维护管理。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第十八条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因建设需要，必须对已建成的供电设施进行迁移、改造或者采取防护措施时，建设单位应当事先与该供电设施管理单位协商，所需工程费用由建设单位负担。</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第四章　电力供应</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第十九条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用户受电端的供电质量应当符合国家标准或者电力行业标准。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供电方式应当按照安全、可靠、经济、合理和便于管理的原则，由电力供应与使用双方根据国家有关规定以及电网规划、用电需求和当地供电条件等因素协商确定。 在公用供电设施未到达的地区，供电企业可以委托有供电能力的单位就近供电。非经供电企业委托，任何单位不得擅自向外供电。</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第二十一条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因抢险救灾需要紧急供电时，供电企业必须尽速安排供电。所需工程费用和应付电费由有关地方人民政府有关部门从抢险救灾经费中支出，但是抗旱用电应当由用户交付电费。</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第二十二条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用户对供电质量有特殊要求的，供电企业应当根据其必要性和电网的可能，提供相应的电力。</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第二十三条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申请新装用电、临时用电、增加用电容量、变更用电和终止用电，均应当到当地供电企业办理手续，并按照国家有关规定交付费用；供电企业没有不予供电的合理理由的，应当供电。供电企业应当在其营业场所公告用电的程序、制度和收费标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第二十四条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供电企业应当按照国家标准或者电力行业标准参与用户受送电装置设计图纸的审核，对用户受送电装置隐蔽工程的施工过程实施监督，并在该受送电装置工程竣工后进行检验；检验合格的，方可投入使用。</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第二十五条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供电企业应当按照国家有关规定实行分类电价、分时电价。</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第二十六条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用户应当安装用户计量装置。用户使用的电力、电量，以计量检定机构依法认可的用电计量装置的记录为准。用电计量装置，应当安装在供电设施与受电设施的产权分界处。 安装在用户外的用电计量装置，由用户负责保护。</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第二十七条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供电企业应当按照国家核准的电价和用电计量装置的记录，向用户计收电费。 用户应当按照国家批准的电价，并按照规定的期限、方式或者合同约定的办法，交付电费。</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第二十八条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除本条例另有规定外，在发电、供电系统正常运行的情况下，供电企业应当连续向用户供电；因故需要停止供电时，应当按照下列要求事先通知用户或者进行公告： （一）因供电设施计划检修需要停电时，供电企业应当提前7天通知用户或者进行公告； （二）因供电设施临时检修需要停止供电时，供电企业应当提前24小时通知重要用户； （三）因发电、供电系统发生故障需要停电、限电时，供电企业应当按照事先确定的限电序位进行停电或者限电。引起停电或者限电的原因消除后，供电企业应当尽快恢复供电。</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第五章　电力使用</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第二十九条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县级以上人民政府电力管理部门应当遵照国家产业政策，按照统筹兼顾、保证重点、择优供应的原则，做好计划用电工作。 供电企业和用户应当制订节约用电计划，推广和采用节约用电的新技术、新材料、新工艺、新设备，降低电能消耗。 供电企业和用户应当采用先进技术、采取科学管理措施，安全供电、用电，避免发生事故，维护公共安全。</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用户不得有下列危害供电、用电安全，扰乱正常供电、用电秩序的行为： （一）擅自改变用电类别； （二）擅自超过合同约定的容量用电； （三）擅自超过计划分配的用电指标的； （四）擅自使用已经在供电企业办理暂停使用手续的电力设备，或者擅自启用已经被供电企业查封的电力设备； （五）擅自迁移、更动或者擅自操作供电企业的用电计量装置、电力负荷控制装置、供电设施以及约定由供电企业调度的用户受电设备； （六）未经供电企业许可，擅自引入，供出电源或者将自备电源擅自并网。</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第三十一条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禁止窃电行为。窃电行为包括： （一）在供电企业的供电设施上，擅自接线用电； （二）绕越供电的用电计量装置用电； （三）伪造或者开启法定的或者授权的计量检定机构加封的用电计量装置封印用电； （四）故意损坏供电企业用电计量装置； （五）故意使供电企业的用电计量装置计量不准或者失效； （六）采用其他方法窃电。</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第六章　供用电合同</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第三十二条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供电企业和用户应当在供电前根据用户需要和供电企业的供电能力签订供用电合同。</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第三十三条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供用电合同应当具备以下条款： （一）供电方式、供电质量和供电时间； （二）用电容量和用电地址、用电性质； （三）计量方式和电价、电费结算方式； （四）供用电设施维护责任的划分； （五）合同的有效期限； （六）违约责任； （七）双方共同认为应当约定的其他条款。</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第三十四条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供电企业应当按照合同约定的数量、质量、时间、方式，合理调度和安全供电。 用户应当按照合同约定的数量、条件用电，交付电费和国家规定的其他费用。</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第三十五条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供用电合同的变更或者解除，应当依照有关法律、行政法规和本条例的规定办理。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第七章　监督与管理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第三十六条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电力管理部门应当加强对供电、用电的监督和管理。供电、用电监督检查人员必须具备相应的条件。供电、用电监督检查工作人员执行公务时，应当出示证件。 供电、用电监督检查管理的具体办法，由国务院电力管理部门另行制定。</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第三十七条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在用户受送电装置上作业的电工，必须经电力管理部门考核合格，取得电力管理部门颁发的《电工进网作业许可证》，方可上岗作业。承装、承修、承试供电设施和受电设施的单位，必须经电力管理部门审核合格，取得电力管理部门颁发的《承装（修）电力设施许可证》。</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第八章　法律责任</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第三十八条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违反本条例规定，有下列行为之一的，由电力管理部门责令改正，没收违法所得，可以并处违法所得5倍以下的罚款： （</w:t>
      </w:r>
      <w:bookmarkStart w:id="0" w:name="_GoBack"/>
      <w:bookmarkEnd w:id="0"/>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一）未按照规定取得《供电营业许可证》。从事电力供应业务的； （二）擅自伸入或者跨越供电营业区供电的； （三）擅自向外转供电的。</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第三十九条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违反本条例第二十七条规定，逾期未交付电费的，供电企业可以从逾期之日起，每日按照电费总额的千分之一至千元之三加收违约金，具体比例由供用电双方在供用电合同中约定；自逾期之日起计算超过30日，经催交仍未交付电费的，供电企业可以按照国家规定的程序停止供电。</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第四十条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违反本条例第三十条规定，违章用电的，供电企业可以根据违章事实和造成的后果追缴电费，并按照国务院电力管理部门的规定加收电费和国家规定的其他费用；情节严重的，可以按照国家规定的程序停止供电。</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第四十一条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违反本条例第三十一条规定，盗窃电能的，由电力管理部门责令停止违法行为，追缴电费并处应交电费5倍以下的罚款；构成犯罪的，依法追究刑事责任。</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第四十二条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供电企业或者用户违反供用电合同，给对方造成损失的，应当依法承担赔偿责任。</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第四十三条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因电力运行事故给用户或者第三人造成损害的，供电企业应当依法承担赔偿责任。 因用户或者第三人的过错给供电企业或者其他用户造成损害的，该用户或者第三人应当依法承担赔偿责任。</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第四十四条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供电企业职工违反规章制度造成供电事故的，或者滥用职权、利用职务之便谋取私利的，依法给予行政处分；构成犯罪的，依法追究刑事责任。</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第九章　附则</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第四十五条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sz w:val="28"/>
          <w:szCs w:val="28"/>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本条例自1996年9月1日起施行。</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veni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8135647"/>
    <w:rsid w:val="54FB4A21"/>
    <w:rsid w:val="679623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2019-06-26T12:34:00Z</dcterms:created>
  <dc:creator>TT</dc:creator>
  <cp:lastModifiedBy>Administrator</cp:lastModifiedBy>
  <cp:lastPrinted>2019-06-26T07:43:56Z</cp:lastPrinted>
  <dcterms:modified xsi:type="dcterms:W3CDTF">2019-06-26T07:46:25Z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