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25"/>
        </w:tabs>
        <w:spacing w:line="300" w:lineRule="exact"/>
        <w:ind w:left="332" w:leftChars="104" w:right="35" w:rightChars="11"/>
        <w:jc w:val="left"/>
        <w:rPr>
          <w:rFonts w:hint="default" w:ascii="Times New Roman" w:hAnsi="Times New Roman" w:eastAsia="方正仿宋_GBK" w:cs="Times New Roman"/>
          <w:sz w:val="32"/>
          <w:szCs w:val="32"/>
        </w:rPr>
      </w:pPr>
    </w:p>
    <w:p>
      <w:pPr>
        <w:pStyle w:val="8"/>
        <w:widowControl w:val="0"/>
        <w:spacing w:line="700" w:lineRule="exact"/>
        <w:jc w:val="center"/>
        <w:rPr>
          <w:rFonts w:hint="default" w:ascii="Times New Roman" w:hAnsi="Times New Roman" w:cs="Times New Roman" w:eastAsiaTheme="majorEastAsia"/>
          <w:sz w:val="44"/>
          <w:szCs w:val="44"/>
        </w:rPr>
      </w:pPr>
      <w:r>
        <w:rPr>
          <w:rFonts w:hint="default" w:ascii="Times New Roman" w:hAnsi="Times New Roman" w:cs="Times New Roman" w:eastAsiaTheme="majorEastAsia"/>
          <w:bCs/>
          <w:sz w:val="44"/>
          <w:szCs w:val="44"/>
        </w:rPr>
        <w:t>县政府</w:t>
      </w:r>
      <w:r>
        <w:rPr>
          <w:rFonts w:hint="default" w:ascii="Times New Roman" w:hAnsi="Times New Roman" w:cs="Times New Roman" w:eastAsiaTheme="majorEastAsia"/>
          <w:kern w:val="10"/>
          <w:sz w:val="44"/>
          <w:szCs w:val="44"/>
        </w:rPr>
        <w:t>关于</w:t>
      </w:r>
      <w:r>
        <w:rPr>
          <w:rFonts w:hint="default" w:ascii="Times New Roman" w:hAnsi="Times New Roman" w:cs="Times New Roman" w:eastAsiaTheme="majorEastAsia"/>
          <w:sz w:val="44"/>
          <w:szCs w:val="44"/>
        </w:rPr>
        <w:t>公布</w:t>
      </w:r>
    </w:p>
    <w:p>
      <w:pPr>
        <w:pStyle w:val="8"/>
        <w:widowControl w:val="0"/>
        <w:spacing w:line="700" w:lineRule="exact"/>
        <w:jc w:val="center"/>
        <w:rPr>
          <w:rFonts w:hint="default" w:ascii="Times New Roman" w:hAnsi="Times New Roman" w:cs="Times New Roman" w:eastAsiaTheme="majorEastAsia"/>
          <w:sz w:val="44"/>
          <w:szCs w:val="44"/>
        </w:rPr>
      </w:pPr>
      <w:r>
        <w:rPr>
          <w:rFonts w:hint="default" w:ascii="Times New Roman" w:hAnsi="Times New Roman" w:cs="Times New Roman" w:eastAsiaTheme="majorEastAsia"/>
          <w:sz w:val="44"/>
          <w:szCs w:val="44"/>
        </w:rPr>
        <w:t>行政规范性文件清理结果</w:t>
      </w:r>
      <w:r>
        <w:rPr>
          <w:rFonts w:hint="default" w:ascii="Times New Roman" w:hAnsi="Times New Roman" w:cs="Times New Roman" w:eastAsiaTheme="majorEastAsia"/>
          <w:kern w:val="10"/>
          <w:sz w:val="44"/>
          <w:szCs w:val="44"/>
        </w:rPr>
        <w:t>的通知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楷体_GB2312" w:cs="Times New Roman"/>
          <w:spacing w:val="-10"/>
          <w:kern w:val="10"/>
          <w:lang w:eastAsia="zh-CN"/>
        </w:rPr>
      </w:pPr>
      <w:r>
        <w:rPr>
          <w:rFonts w:hint="default" w:ascii="Times New Roman" w:hAnsi="Times New Roman" w:eastAsia="楷体_GB2312" w:cs="Times New Roman"/>
          <w:sz w:val="32"/>
          <w:szCs w:val="32"/>
        </w:rPr>
        <w:t>洪政规发〔202</w:t>
      </w:r>
      <w:r>
        <w:rPr>
          <w:rFonts w:hint="default"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t>〕</w:t>
      </w:r>
      <w:r>
        <w:rPr>
          <w:rFonts w:hint="default" w:ascii="Times New Roman" w:hAnsi="Times New Roman" w:eastAsia="楷体_GB2312" w:cs="Times New Roman"/>
          <w:sz w:val="32"/>
          <w:szCs w:val="32"/>
          <w:lang w:val="en-US" w:eastAsia="zh-CN"/>
        </w:rPr>
        <w:t>1</w:t>
      </w:r>
      <w:r>
        <w:rPr>
          <w:rFonts w:hint="default" w:ascii="Times New Roman" w:hAnsi="Times New Roman" w:eastAsia="楷体_GB2312"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各乡镇人民政府，各街道办事处，县各开发区、园区管委会，县各有关部门和单位：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 w:cs="Times New Roman"/>
          <w:sz w:val="32"/>
          <w:szCs w:val="32"/>
        </w:rPr>
      </w:pPr>
      <w:r>
        <w:rPr>
          <w:rFonts w:hint="default" w:ascii="Times New Roman" w:hAnsi="Times New Roman" w:eastAsia="仿宋" w:cs="Times New Roman"/>
          <w:snapToGrid w:val="0"/>
          <w:sz w:val="32"/>
          <w:szCs w:val="32"/>
        </w:rPr>
        <w:t>为深入推进依法行政，加快建设法治政府，进一步提升政府规范性文件质量</w:t>
      </w:r>
      <w:r>
        <w:rPr>
          <w:rFonts w:hint="default" w:ascii="Times New Roman" w:hAnsi="Times New Roman" w:eastAsia="仿宋" w:cs="Times New Roman"/>
          <w:sz w:val="32"/>
          <w:szCs w:val="32"/>
        </w:rPr>
        <w:t>，深化</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放管服</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改革，优化营商环境，根据《国务院办公厅关于加强行政规范性文件制定和监督管理工作的通知》《江苏省行政规范性文件管理规定》《县政府办公室关于开展行政规范性文件清理工作的通知》（洪政办传〔2023〕8号）要求，县政府组织有关部门对现行有效的</w:t>
      </w:r>
      <w:r>
        <w:rPr>
          <w:rFonts w:hint="default" w:ascii="Times New Roman" w:hAnsi="Times New Roman" w:eastAsia="仿宋" w:cs="Times New Roman"/>
          <w:sz w:val="32"/>
          <w:szCs w:val="32"/>
          <w:lang w:val="en-US" w:eastAsia="zh-CN"/>
        </w:rPr>
        <w:t>20</w:t>
      </w:r>
      <w:r>
        <w:rPr>
          <w:rFonts w:hint="default" w:ascii="Times New Roman" w:hAnsi="Times New Roman" w:eastAsia="仿宋" w:cs="Times New Roman"/>
          <w:sz w:val="32"/>
          <w:szCs w:val="32"/>
        </w:rPr>
        <w:t>件行政规范性文件（或含规范性内容的文件，以下简称行政规范性文件）进行了集中清理。现将清理结果公布如下：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一、决定保留的行政规范性文件1</w:t>
      </w:r>
      <w:r>
        <w:rPr>
          <w:rFonts w:hint="default" w:ascii="Times New Roman" w:hAnsi="Times New Roman" w:eastAsia="仿宋" w:cs="Times New Roman"/>
          <w:sz w:val="32"/>
          <w:szCs w:val="32"/>
          <w:lang w:val="en-US" w:eastAsia="zh-CN"/>
        </w:rPr>
        <w:t>6</w:t>
      </w:r>
      <w:r>
        <w:rPr>
          <w:rFonts w:hint="default" w:ascii="Times New Roman" w:hAnsi="Times New Roman" w:eastAsia="仿宋" w:cs="Times New Roman"/>
          <w:sz w:val="32"/>
          <w:szCs w:val="32"/>
        </w:rPr>
        <w:t>件，修改2件，废止2件（具体目录见附件）。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二、列入保留目录的行政规范性文件，其中标注</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试行</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暂行</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的有效期为2年，其他行政规范性文件有效期为5年，有效期自本公告公布之日起计算。</w:t>
      </w:r>
    </w:p>
    <w:p>
      <w:pPr>
        <w:keepNext w:val="0"/>
        <w:keepLines w:val="0"/>
        <w:pageBreakBefore w:val="0"/>
        <w:widowControl w:val="0"/>
        <w:tabs>
          <w:tab w:val="left" w:pos="7360"/>
        </w:tabs>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三、列入废止目录的行政规范性文件不得再作为行政管理的依据，各行政主管部门要切实做好有关行政规范性文件废止的后续管理工作。</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both"/>
        <w:textAlignment w:val="auto"/>
        <w:rPr>
          <w:rFonts w:hint="default" w:ascii="Times New Roman" w:hAnsi="Times New Roman" w:eastAsia="仿宋" w:cs="Times New Roman"/>
          <w:spacing w:val="-10"/>
          <w:kern w:val="1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kern w:val="36"/>
          <w:sz w:val="32"/>
          <w:szCs w:val="32"/>
        </w:rPr>
      </w:pPr>
      <w:r>
        <w:rPr>
          <w:rFonts w:hint="default" w:ascii="Times New Roman" w:hAnsi="Times New Roman" w:eastAsia="仿宋" w:cs="Times New Roman"/>
          <w:kern w:val="36"/>
          <w:sz w:val="32"/>
          <w:szCs w:val="32"/>
        </w:rPr>
        <w:t>附件：1. 继续保留的行政规范性文件目录</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hint="default" w:ascii="Times New Roman" w:hAnsi="Times New Roman" w:eastAsia="仿宋" w:cs="Times New Roman"/>
          <w:kern w:val="36"/>
          <w:sz w:val="32"/>
          <w:szCs w:val="32"/>
        </w:rPr>
      </w:pPr>
      <w:r>
        <w:rPr>
          <w:rFonts w:hint="default" w:ascii="Times New Roman" w:hAnsi="Times New Roman" w:eastAsia="仿宋" w:cs="Times New Roman"/>
          <w:kern w:val="36"/>
          <w:sz w:val="32"/>
          <w:szCs w:val="32"/>
        </w:rPr>
        <w:t>2. 需要修改的行政规范性文件目录</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hint="default" w:ascii="Times New Roman" w:hAnsi="Times New Roman" w:eastAsia="仿宋" w:cs="Times New Roman"/>
          <w:kern w:val="36"/>
          <w:sz w:val="32"/>
          <w:szCs w:val="32"/>
        </w:rPr>
      </w:pPr>
      <w:r>
        <w:rPr>
          <w:rFonts w:hint="default" w:ascii="Times New Roman" w:hAnsi="Times New Roman" w:eastAsia="仿宋" w:cs="Times New Roman"/>
          <w:kern w:val="36"/>
          <w:sz w:val="32"/>
          <w:szCs w:val="32"/>
        </w:rPr>
        <w:t>3. 废止的行政规范性文件目录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kern w:val="36"/>
          <w:sz w:val="32"/>
          <w:szCs w:val="32"/>
        </w:rPr>
      </w:pPr>
    </w:p>
    <w:p>
      <w:pPr>
        <w:keepNext w:val="0"/>
        <w:keepLines w:val="0"/>
        <w:pageBreakBefore w:val="0"/>
        <w:widowControl w:val="0"/>
        <w:tabs>
          <w:tab w:val="left" w:pos="7560"/>
        </w:tabs>
        <w:kinsoku/>
        <w:wordWrap/>
        <w:overflowPunct/>
        <w:topLinePunct w:val="0"/>
        <w:autoSpaceDE/>
        <w:autoSpaceDN/>
        <w:bidi w:val="0"/>
        <w:adjustRightInd/>
        <w:snapToGrid/>
        <w:spacing w:line="560" w:lineRule="exact"/>
        <w:ind w:firstLine="2240" w:firstLineChars="700"/>
        <w:jc w:val="both"/>
        <w:textAlignment w:val="auto"/>
        <w:rPr>
          <w:rFonts w:hint="default" w:ascii="Times New Roman" w:hAnsi="Times New Roman" w:eastAsia="仿宋" w:cs="Times New Roman"/>
          <w:bCs/>
          <w:sz w:val="32"/>
          <w:szCs w:val="32"/>
        </w:rPr>
      </w:pPr>
    </w:p>
    <w:p>
      <w:pPr>
        <w:pStyle w:val="9"/>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default" w:ascii="Times New Roman" w:hAnsi="Times New Roman" w:eastAsia="仿宋"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4998" w:firstLineChars="1562"/>
        <w:jc w:val="both"/>
        <w:textAlignment w:val="auto"/>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泗洪县人民政府</w:t>
      </w:r>
    </w:p>
    <w:p>
      <w:pPr>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57" w:firstLineChars="18"/>
        <w:jc w:val="both"/>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sz w:val="32"/>
          <w:szCs w:val="32"/>
        </w:rPr>
        <w:t xml:space="preserve">                              2023年</w:t>
      </w:r>
      <w:r>
        <w:rPr>
          <w:rFonts w:hint="default" w:ascii="Times New Roman" w:hAnsi="Times New Roman" w:eastAsia="仿宋" w:cs="Times New Roman"/>
          <w:sz w:val="32"/>
          <w:szCs w:val="32"/>
          <w:lang w:val="en-US" w:eastAsia="zh-CN"/>
        </w:rPr>
        <w:t>7</w:t>
      </w:r>
      <w:r>
        <w:rPr>
          <w:rFonts w:hint="default" w:ascii="Times New Roman" w:hAnsi="Times New Roman" w:eastAsia="仿宋" w:cs="Times New Roman"/>
          <w:sz w:val="32"/>
          <w:szCs w:val="32"/>
        </w:rPr>
        <w:t>月</w:t>
      </w:r>
      <w:r>
        <w:rPr>
          <w:rFonts w:hint="default" w:ascii="Times New Roman" w:hAnsi="Times New Roman" w:eastAsia="仿宋" w:cs="Times New Roman"/>
          <w:sz w:val="32"/>
          <w:szCs w:val="32"/>
          <w:lang w:val="en-US" w:eastAsia="zh-CN"/>
        </w:rPr>
        <w:t>10</w:t>
      </w:r>
      <w:r>
        <w:rPr>
          <w:rFonts w:hint="default" w:ascii="Times New Roman" w:hAnsi="Times New Roman" w:eastAsia="仿宋" w:cs="Times New Roman"/>
          <w:sz w:val="32"/>
          <w:szCs w:val="32"/>
        </w:rPr>
        <w:t>日</w:t>
      </w:r>
    </w:p>
    <w:p>
      <w:pPr>
        <w:pStyle w:val="9"/>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sz w:val="32"/>
          <w:szCs w:val="32"/>
        </w:rPr>
        <w:sectPr>
          <w:headerReference r:id="rId5" w:type="default"/>
          <w:footerReference r:id="rId6" w:type="default"/>
          <w:pgSz w:w="11906" w:h="16838"/>
          <w:pgMar w:top="2041" w:right="1531" w:bottom="2041" w:left="1531" w:header="851" w:footer="1474" w:gutter="0"/>
          <w:pgNumType w:fmt="decimal"/>
          <w:cols w:space="720" w:num="1"/>
          <w:docGrid w:type="linesAndChars" w:linePitch="442" w:charSpace="0"/>
        </w:sectPr>
      </w:pPr>
      <w:r>
        <w:rPr>
          <w:rFonts w:hint="default" w:ascii="Times New Roman" w:hAnsi="Times New Roman" w:eastAsia="仿宋_GB2312" w:cs="Times New Roman"/>
          <w:sz w:val="32"/>
          <w:szCs w:val="32"/>
        </w:rPr>
        <w:t>（此件公开发布）</w:t>
      </w:r>
    </w:p>
    <w:p>
      <w:pPr>
        <w:autoSpaceDE w:val="0"/>
        <w:autoSpaceDN w:val="0"/>
        <w:adjustRightInd w:val="0"/>
        <w:snapToGrid w:val="0"/>
        <w:spacing w:line="580" w:lineRule="exact"/>
        <w:rPr>
          <w:rFonts w:hint="default" w:ascii="Times New Roman" w:hAnsi="Times New Roman" w:eastAsia="方正黑体_GBK" w:cs="Times New Roman"/>
        </w:rPr>
      </w:pPr>
      <w:r>
        <w:rPr>
          <w:rFonts w:hint="default" w:ascii="Times New Roman" w:hAnsi="Times New Roman" w:eastAsia="方正黑体_GBK" w:cs="Times New Roman"/>
        </w:rPr>
        <w:t>附件1</w:t>
      </w:r>
    </w:p>
    <w:p>
      <w:pPr>
        <w:pStyle w:val="8"/>
        <w:widowControl w:val="0"/>
        <w:spacing w:line="700" w:lineRule="exact"/>
        <w:jc w:val="center"/>
        <w:rPr>
          <w:rFonts w:hint="default" w:ascii="Times New Roman" w:hAnsi="Times New Roman" w:cs="Times New Roman" w:eastAsiaTheme="majorEastAsia"/>
          <w:bCs/>
          <w:sz w:val="44"/>
          <w:szCs w:val="44"/>
        </w:rPr>
      </w:pPr>
      <w:r>
        <w:rPr>
          <w:rFonts w:hint="default" w:ascii="Times New Roman" w:hAnsi="Times New Roman" w:cs="Times New Roman" w:eastAsiaTheme="majorEastAsia"/>
          <w:bCs/>
          <w:sz w:val="44"/>
          <w:szCs w:val="44"/>
        </w:rPr>
        <w:t>继续保留的行政规范性文件目录</w:t>
      </w:r>
    </w:p>
    <w:p>
      <w:pPr>
        <w:widowControl w:val="0"/>
        <w:spacing w:line="240" w:lineRule="exact"/>
        <w:jc w:val="both"/>
        <w:rPr>
          <w:rFonts w:hint="default" w:ascii="Times New Roman" w:hAnsi="Times New Roman" w:eastAsia="方正仿宋_GBK" w:cs="Times New Roman"/>
          <w:kern w:val="2"/>
          <w:sz w:val="21"/>
          <w:szCs w:val="21"/>
        </w:rPr>
      </w:pPr>
      <w:r>
        <w:rPr>
          <w:rFonts w:hint="default" w:ascii="Times New Roman" w:hAnsi="Times New Roman" w:eastAsia="方正仿宋_GBK" w:cs="Times New Roman"/>
          <w:kern w:val="2"/>
          <w:sz w:val="21"/>
          <w:szCs w:val="21"/>
          <w:lang w:bidi="ar"/>
        </w:rPr>
        <w:t xml:space="preserve"> </w:t>
      </w:r>
    </w:p>
    <w:tbl>
      <w:tblPr>
        <w:tblStyle w:val="10"/>
        <w:tblW w:w="9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31"/>
        <w:gridCol w:w="6562"/>
        <w:gridCol w:w="2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320" w:lineRule="exact"/>
              <w:jc w:val="center"/>
              <w:rPr>
                <w:rFonts w:hint="default" w:ascii="Times New Roman" w:hAnsi="Times New Roman" w:eastAsia="方正黑体_GBK" w:cs="Times New Roman"/>
                <w:kern w:val="2"/>
                <w:sz w:val="21"/>
                <w:szCs w:val="21"/>
              </w:rPr>
            </w:pPr>
            <w:r>
              <w:rPr>
                <w:rFonts w:hint="default" w:ascii="Times New Roman" w:hAnsi="Times New Roman" w:eastAsia="方正黑体_GBK" w:cs="Times New Roman"/>
                <w:kern w:val="2"/>
                <w:sz w:val="21"/>
                <w:szCs w:val="21"/>
                <w:lang w:bidi="ar"/>
              </w:rPr>
              <w:t>序号</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320" w:lineRule="exact"/>
              <w:jc w:val="center"/>
              <w:rPr>
                <w:rFonts w:hint="default" w:ascii="Times New Roman" w:hAnsi="Times New Roman" w:eastAsia="方正黑体_GBK" w:cs="Times New Roman"/>
                <w:kern w:val="2"/>
                <w:sz w:val="21"/>
                <w:szCs w:val="21"/>
              </w:rPr>
            </w:pPr>
            <w:r>
              <w:rPr>
                <w:rFonts w:hint="default" w:ascii="Times New Roman" w:hAnsi="Times New Roman" w:eastAsia="方正黑体_GBK" w:cs="Times New Roman"/>
                <w:kern w:val="2"/>
                <w:sz w:val="21"/>
                <w:szCs w:val="21"/>
                <w:lang w:bidi="ar"/>
              </w:rPr>
              <w:t>文件名称</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320" w:lineRule="exact"/>
              <w:jc w:val="center"/>
              <w:rPr>
                <w:rFonts w:hint="default" w:ascii="Times New Roman" w:hAnsi="Times New Roman" w:eastAsia="方正黑体_GBK" w:cs="Times New Roman"/>
                <w:kern w:val="2"/>
                <w:sz w:val="21"/>
                <w:szCs w:val="21"/>
              </w:rPr>
            </w:pPr>
            <w:r>
              <w:rPr>
                <w:rFonts w:hint="default" w:ascii="Times New Roman" w:hAnsi="Times New Roman" w:eastAsia="方正黑体_GBK" w:cs="Times New Roman"/>
                <w:kern w:val="2"/>
                <w:sz w:val="21"/>
                <w:szCs w:val="21"/>
                <w:lang w:bidi="ar"/>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1</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泗洪县人民政府关于禁止在城区现场搅拌砂浆的通告</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洪规发〔2014〕2号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2</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县政府关于印发泗洪县社会组织培育发展工作实施意见的通知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洪政发〔2014〕67号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3</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泗洪县人民政府关于在城区禁止电动三轮车、电动四轮车通行及取缔</w:t>
            </w:r>
          </w:p>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其非法运营的通告</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洪政发〔2016〕15号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4</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泗洪县人民政府关于进一步规范县城区国有土地上房屋</w:t>
            </w:r>
          </w:p>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征收工作的意见</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洪政发〔2016〕16号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5</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泗洪县人民政府关于加强饮用水源地保护管理的通告</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洪政发〔2016〕46号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6</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泗洪县人民政府关于印发泗洪县饮用水水源保护办法的通知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洪政发〔2016〕47号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7</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泗洪县人民政府关于印发泗洪县国有产权交易管理暂行办法的通知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洪政发〔2017〕27号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8</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泗洪县人民政府关于实行封湖封河禁渔的通告</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洪政发〔2017〕33号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9</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泗洪县人民政府关于调整高污染燃料禁燃区范围的通告</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洪政发〔2017〕76号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10</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县政府关于印发泗洪县低收入农户子女扶贫助学工作实施意见的通知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洪政发〔2018〕137号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11</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泗洪县人民政府关于印发泗洪县河道管理实施细则的通知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洪政发〔2019〕17号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12</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泗洪县人民政府关于印发泗洪县畜禽养殖禁养区调整方案的通知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洪政发〔2019〕88号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13</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泗洪县人民政府关于河湖和水利工程管理与保护范围划界成果的公告</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洪政发〔2020〕12号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14</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泗洪县人民政府关于印发泗洪县公共租赁住房管理实施细则的通知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洪政规发〔2020〕1号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15</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县政府关于印发泗洪县农村集体经营性建设用地入市试点实施办法</w:t>
            </w:r>
          </w:p>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（试行）的通知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洪政规发〔2021〕1号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63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sz w:val="21"/>
                <w:szCs w:val="21"/>
                <w:lang w:val="en-US" w:eastAsia="zh-CN" w:bidi="ar"/>
              </w:rPr>
              <w:t>16</w:t>
            </w:r>
          </w:p>
        </w:tc>
        <w:tc>
          <w:tcPr>
            <w:tcW w:w="656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sz w:val="21"/>
                <w:szCs w:val="21"/>
                <w:lang w:val="en-US" w:eastAsia="zh-CN" w:bidi="ar"/>
              </w:rPr>
              <w:t>泗洪县人民政府关于印发泗洪县农村集体经济组织管理办法（试行）的通知</w:t>
            </w:r>
          </w:p>
        </w:tc>
        <w:tc>
          <w:tcPr>
            <w:tcW w:w="24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2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洪政规发〔202</w:t>
            </w:r>
            <w:r>
              <w:rPr>
                <w:rFonts w:hint="default" w:ascii="Times New Roman" w:hAnsi="Times New Roman" w:eastAsia="方正仿宋_GBK" w:cs="Times New Roman"/>
                <w:sz w:val="21"/>
                <w:szCs w:val="21"/>
                <w:lang w:val="en-US" w:eastAsia="zh-CN" w:bidi="ar"/>
              </w:rPr>
              <w:t>2</w:t>
            </w:r>
            <w:r>
              <w:rPr>
                <w:rFonts w:hint="default" w:ascii="Times New Roman" w:hAnsi="Times New Roman" w:eastAsia="方正仿宋_GBK" w:cs="Times New Roman"/>
                <w:sz w:val="21"/>
                <w:szCs w:val="21"/>
                <w:lang w:bidi="ar"/>
              </w:rPr>
              <w:t>〕1号</w:t>
            </w:r>
          </w:p>
        </w:tc>
      </w:tr>
    </w:tbl>
    <w:p>
      <w:pPr>
        <w:widowControl w:val="0"/>
        <w:spacing w:line="240" w:lineRule="exact"/>
        <w:jc w:val="both"/>
        <w:rPr>
          <w:rFonts w:hint="default" w:ascii="Times New Roman" w:hAnsi="Times New Roman" w:cs="Times New Roman"/>
          <w:kern w:val="2"/>
          <w:sz w:val="21"/>
          <w:szCs w:val="21"/>
          <w:lang w:bidi="ar"/>
        </w:rPr>
      </w:pPr>
    </w:p>
    <w:p>
      <w:pPr>
        <w:widowControl w:val="0"/>
        <w:spacing w:line="240" w:lineRule="exact"/>
        <w:jc w:val="both"/>
        <w:rPr>
          <w:rFonts w:hint="default" w:ascii="Times New Roman" w:hAnsi="Times New Roman" w:cs="Times New Roman"/>
          <w:kern w:val="2"/>
          <w:sz w:val="21"/>
          <w:szCs w:val="21"/>
          <w:lang w:bidi="ar"/>
        </w:rPr>
      </w:pPr>
    </w:p>
    <w:p>
      <w:pPr>
        <w:widowControl w:val="0"/>
        <w:spacing w:line="240" w:lineRule="exact"/>
        <w:jc w:val="both"/>
        <w:rPr>
          <w:rFonts w:hint="default" w:ascii="Times New Roman" w:hAnsi="Times New Roman" w:cs="Times New Roman"/>
          <w:kern w:val="2"/>
          <w:sz w:val="21"/>
          <w:szCs w:val="21"/>
        </w:rPr>
      </w:pPr>
      <w:r>
        <w:rPr>
          <w:rFonts w:hint="default" w:ascii="Times New Roman" w:hAnsi="Times New Roman" w:cs="Times New Roman"/>
          <w:kern w:val="2"/>
          <w:sz w:val="21"/>
          <w:szCs w:val="21"/>
          <w:lang w:bidi="ar"/>
        </w:rPr>
        <w:t xml:space="preserve"> </w:t>
      </w:r>
    </w:p>
    <w:p>
      <w:pPr>
        <w:widowControl w:val="0"/>
        <w:spacing w:line="240" w:lineRule="exact"/>
        <w:jc w:val="both"/>
        <w:rPr>
          <w:rFonts w:hint="default" w:ascii="Times New Roman" w:hAnsi="Times New Roman" w:cs="Times New Roman"/>
          <w:kern w:val="2"/>
          <w:sz w:val="21"/>
          <w:szCs w:val="21"/>
        </w:rPr>
      </w:pPr>
      <w:r>
        <w:rPr>
          <w:rFonts w:hint="default" w:ascii="Times New Roman" w:hAnsi="Times New Roman" w:cs="Times New Roman"/>
          <w:kern w:val="2"/>
          <w:sz w:val="21"/>
          <w:szCs w:val="21"/>
          <w:lang w:bidi="ar"/>
        </w:rPr>
        <w:t xml:space="preserve"> </w:t>
      </w:r>
    </w:p>
    <w:p>
      <w:pPr>
        <w:widowControl w:val="0"/>
        <w:spacing w:line="580" w:lineRule="exact"/>
        <w:jc w:val="both"/>
        <w:rPr>
          <w:rFonts w:hint="default" w:ascii="Times New Roman" w:hAnsi="Times New Roman" w:cs="Times New Roman"/>
          <w:kern w:val="2"/>
          <w:sz w:val="21"/>
          <w:szCs w:val="21"/>
          <w:lang w:bidi="ar"/>
        </w:rPr>
      </w:pPr>
    </w:p>
    <w:p>
      <w:pPr>
        <w:widowControl w:val="0"/>
        <w:spacing w:line="580" w:lineRule="exact"/>
        <w:jc w:val="both"/>
        <w:rPr>
          <w:rFonts w:hint="default" w:ascii="Times New Roman" w:hAnsi="Times New Roman" w:cs="Times New Roman"/>
          <w:kern w:val="2"/>
          <w:sz w:val="21"/>
          <w:szCs w:val="21"/>
          <w:lang w:bidi="ar"/>
        </w:rPr>
      </w:pPr>
    </w:p>
    <w:p>
      <w:pPr>
        <w:widowControl w:val="0"/>
        <w:spacing w:line="580" w:lineRule="exact"/>
        <w:jc w:val="both"/>
        <w:rPr>
          <w:rFonts w:hint="default" w:ascii="Times New Roman" w:hAnsi="Times New Roman" w:cs="Times New Roman"/>
          <w:kern w:val="2"/>
          <w:sz w:val="21"/>
          <w:szCs w:val="21"/>
          <w:lang w:bidi="ar"/>
        </w:rPr>
      </w:pPr>
    </w:p>
    <w:p>
      <w:pPr>
        <w:widowControl w:val="0"/>
        <w:spacing w:line="580" w:lineRule="exact"/>
        <w:jc w:val="both"/>
        <w:rPr>
          <w:rFonts w:hint="default" w:ascii="Times New Roman" w:hAnsi="Times New Roman" w:cs="Times New Roman"/>
          <w:kern w:val="2"/>
          <w:sz w:val="21"/>
          <w:szCs w:val="21"/>
          <w:lang w:bidi="ar"/>
        </w:rPr>
      </w:pPr>
    </w:p>
    <w:p>
      <w:pPr>
        <w:widowControl w:val="0"/>
        <w:spacing w:line="580" w:lineRule="exact"/>
        <w:jc w:val="both"/>
        <w:rPr>
          <w:rFonts w:hint="default" w:ascii="Times New Roman" w:hAnsi="Times New Roman" w:eastAsia="方正黑体_GBK" w:cs="Times New Roman"/>
          <w:kern w:val="2"/>
        </w:rPr>
      </w:pPr>
      <w:r>
        <w:rPr>
          <w:rFonts w:hint="default" w:ascii="Times New Roman" w:hAnsi="Times New Roman" w:eastAsia="方正黑体_GBK" w:cs="Times New Roman"/>
          <w:kern w:val="2"/>
          <w:lang w:bidi="ar"/>
        </w:rPr>
        <w:t>附件2</w:t>
      </w:r>
    </w:p>
    <w:p>
      <w:pPr>
        <w:pStyle w:val="8"/>
        <w:widowControl w:val="0"/>
        <w:spacing w:line="700" w:lineRule="exact"/>
        <w:jc w:val="center"/>
        <w:rPr>
          <w:rFonts w:hint="default" w:ascii="Times New Roman" w:hAnsi="Times New Roman" w:cs="Times New Roman" w:eastAsiaTheme="majorEastAsia"/>
          <w:bCs/>
          <w:sz w:val="44"/>
          <w:szCs w:val="44"/>
        </w:rPr>
      </w:pPr>
      <w:r>
        <w:rPr>
          <w:rFonts w:hint="default" w:ascii="Times New Roman" w:hAnsi="Times New Roman" w:cs="Times New Roman" w:eastAsiaTheme="majorEastAsia"/>
          <w:bCs/>
          <w:sz w:val="44"/>
          <w:szCs w:val="44"/>
        </w:rPr>
        <w:t>需</w:t>
      </w:r>
      <w:r>
        <w:rPr>
          <w:rFonts w:hint="default" w:ascii="Times New Roman" w:hAnsi="Times New Roman" w:cs="Times New Roman" w:eastAsiaTheme="majorEastAsia"/>
          <w:bCs/>
          <w:sz w:val="44"/>
          <w:szCs w:val="44"/>
          <w:lang w:eastAsia="zh-CN"/>
        </w:rPr>
        <w:t>要</w:t>
      </w:r>
      <w:r>
        <w:rPr>
          <w:rFonts w:hint="default" w:ascii="Times New Roman" w:hAnsi="Times New Roman" w:cs="Times New Roman" w:eastAsiaTheme="majorEastAsia"/>
          <w:bCs/>
          <w:sz w:val="44"/>
          <w:szCs w:val="44"/>
        </w:rPr>
        <w:t>修改的行政规范性文件目录</w:t>
      </w:r>
    </w:p>
    <w:p>
      <w:pPr>
        <w:widowControl w:val="0"/>
        <w:spacing w:line="240" w:lineRule="exact"/>
        <w:jc w:val="both"/>
        <w:rPr>
          <w:rFonts w:hint="default" w:ascii="Times New Roman" w:hAnsi="Times New Roman" w:eastAsia="方正仿宋_GBK" w:cs="Times New Roman"/>
          <w:kern w:val="2"/>
          <w:sz w:val="21"/>
          <w:szCs w:val="21"/>
          <w:lang w:bidi="ar"/>
        </w:rPr>
      </w:pPr>
      <w:r>
        <w:rPr>
          <w:rFonts w:hint="default" w:ascii="Times New Roman" w:hAnsi="Times New Roman" w:eastAsia="方正仿宋_GBK" w:cs="Times New Roman"/>
          <w:kern w:val="2"/>
          <w:sz w:val="21"/>
          <w:szCs w:val="21"/>
          <w:lang w:bidi="ar"/>
        </w:rPr>
        <w:t xml:space="preserve"> </w:t>
      </w:r>
    </w:p>
    <w:tbl>
      <w:tblPr>
        <w:tblStyle w:val="10"/>
        <w:tblW w:w="85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60"/>
        <w:gridCol w:w="5523"/>
        <w:gridCol w:w="2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320" w:lineRule="exact"/>
              <w:jc w:val="center"/>
              <w:rPr>
                <w:rFonts w:hint="default" w:ascii="Times New Roman" w:hAnsi="Times New Roman" w:eastAsia="方正黑体_GBK" w:cs="Times New Roman"/>
                <w:kern w:val="2"/>
                <w:sz w:val="21"/>
                <w:szCs w:val="21"/>
              </w:rPr>
            </w:pPr>
            <w:r>
              <w:rPr>
                <w:rFonts w:hint="default" w:ascii="Times New Roman" w:hAnsi="Times New Roman" w:eastAsia="方正黑体_GBK" w:cs="Times New Roman"/>
                <w:kern w:val="2"/>
                <w:sz w:val="21"/>
                <w:szCs w:val="21"/>
                <w:lang w:bidi="ar"/>
              </w:rPr>
              <w:t>序号</w:t>
            </w:r>
          </w:p>
        </w:tc>
        <w:tc>
          <w:tcPr>
            <w:tcW w:w="55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320" w:lineRule="exact"/>
              <w:jc w:val="center"/>
              <w:rPr>
                <w:rFonts w:hint="default" w:ascii="Times New Roman" w:hAnsi="Times New Roman" w:eastAsia="方正黑体_GBK" w:cs="Times New Roman"/>
                <w:kern w:val="2"/>
                <w:sz w:val="21"/>
                <w:szCs w:val="21"/>
              </w:rPr>
            </w:pPr>
            <w:r>
              <w:rPr>
                <w:rFonts w:hint="default" w:ascii="Times New Roman" w:hAnsi="Times New Roman" w:eastAsia="方正黑体_GBK" w:cs="Times New Roman"/>
                <w:kern w:val="2"/>
                <w:sz w:val="21"/>
                <w:szCs w:val="21"/>
                <w:lang w:bidi="ar"/>
              </w:rPr>
              <w:t>文件名称</w:t>
            </w:r>
          </w:p>
        </w:tc>
        <w:tc>
          <w:tcPr>
            <w:tcW w:w="25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320" w:lineRule="exact"/>
              <w:jc w:val="center"/>
              <w:rPr>
                <w:rFonts w:hint="default" w:ascii="Times New Roman" w:hAnsi="Times New Roman" w:eastAsia="方正黑体_GBK" w:cs="Times New Roman"/>
                <w:kern w:val="2"/>
                <w:sz w:val="21"/>
                <w:szCs w:val="21"/>
              </w:rPr>
            </w:pPr>
            <w:r>
              <w:rPr>
                <w:rFonts w:hint="default" w:ascii="Times New Roman" w:hAnsi="Times New Roman" w:eastAsia="方正黑体_GBK" w:cs="Times New Roman"/>
                <w:kern w:val="2"/>
                <w:sz w:val="21"/>
                <w:szCs w:val="21"/>
                <w:lang w:bidi="ar"/>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1</w:t>
            </w:r>
          </w:p>
        </w:tc>
        <w:tc>
          <w:tcPr>
            <w:tcW w:w="5523"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县政府关于印发泗洪县县</w:t>
            </w:r>
            <w:bookmarkStart w:id="0" w:name="_GoBack"/>
            <w:bookmarkEnd w:id="0"/>
            <w:r>
              <w:rPr>
                <w:rFonts w:hint="default" w:ascii="Times New Roman" w:hAnsi="Times New Roman" w:eastAsia="方正仿宋_GBK" w:cs="Times New Roman"/>
                <w:sz w:val="21"/>
                <w:szCs w:val="21"/>
                <w:lang w:bidi="ar"/>
              </w:rPr>
              <w:t>长质量奖管理办法的通知</w:t>
            </w:r>
          </w:p>
        </w:tc>
        <w:tc>
          <w:tcPr>
            <w:tcW w:w="25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洪政规发〔2017〕1号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2</w:t>
            </w:r>
          </w:p>
        </w:tc>
        <w:tc>
          <w:tcPr>
            <w:tcW w:w="5523"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县政府关于印发泗洪县城区烟花爆竹燃放管理办法的通知</w:t>
            </w:r>
          </w:p>
        </w:tc>
        <w:tc>
          <w:tcPr>
            <w:tcW w:w="25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洪政规发〔2021〕2号</w:t>
            </w:r>
          </w:p>
        </w:tc>
      </w:tr>
    </w:tbl>
    <w:p>
      <w:pPr>
        <w:widowControl w:val="0"/>
        <w:spacing w:line="240" w:lineRule="exact"/>
        <w:jc w:val="both"/>
        <w:rPr>
          <w:rFonts w:hint="default" w:ascii="Times New Roman" w:hAnsi="Times New Roman" w:cs="Times New Roman"/>
          <w:kern w:val="2"/>
          <w:sz w:val="21"/>
          <w:szCs w:val="21"/>
        </w:rPr>
      </w:pPr>
      <w:r>
        <w:rPr>
          <w:rFonts w:hint="default" w:ascii="Times New Roman" w:hAnsi="Times New Roman" w:cs="Times New Roman"/>
          <w:kern w:val="2"/>
          <w:sz w:val="21"/>
          <w:szCs w:val="21"/>
          <w:lang w:bidi="ar"/>
        </w:rPr>
        <w:t xml:space="preserve"> </w:t>
      </w:r>
    </w:p>
    <w:p>
      <w:pPr>
        <w:widowControl w:val="0"/>
        <w:spacing w:line="240" w:lineRule="exact"/>
        <w:jc w:val="both"/>
        <w:rPr>
          <w:rFonts w:hint="default" w:ascii="Times New Roman" w:hAnsi="Times New Roman" w:cs="Times New Roman"/>
          <w:kern w:val="2"/>
          <w:sz w:val="21"/>
          <w:szCs w:val="21"/>
        </w:rPr>
      </w:pPr>
      <w:r>
        <w:rPr>
          <w:rFonts w:hint="default" w:ascii="Times New Roman" w:hAnsi="Times New Roman" w:cs="Times New Roman"/>
          <w:kern w:val="2"/>
          <w:sz w:val="21"/>
          <w:szCs w:val="21"/>
          <w:lang w:bidi="ar"/>
        </w:rPr>
        <w:t xml:space="preserve"> </w:t>
      </w:r>
    </w:p>
    <w:p>
      <w:pPr>
        <w:widowControl w:val="0"/>
        <w:spacing w:line="240" w:lineRule="exact"/>
        <w:jc w:val="both"/>
        <w:rPr>
          <w:rFonts w:hint="default" w:ascii="Times New Roman" w:hAnsi="Times New Roman" w:cs="Times New Roman"/>
          <w:kern w:val="2"/>
          <w:sz w:val="21"/>
          <w:szCs w:val="21"/>
        </w:rPr>
      </w:pPr>
      <w:r>
        <w:rPr>
          <w:rFonts w:hint="default" w:ascii="Times New Roman" w:hAnsi="Times New Roman" w:cs="Times New Roman"/>
          <w:kern w:val="2"/>
          <w:sz w:val="21"/>
          <w:szCs w:val="21"/>
          <w:lang w:bidi="ar"/>
        </w:rPr>
        <w:t xml:space="preserve"> </w:t>
      </w:r>
    </w:p>
    <w:p>
      <w:pPr>
        <w:widowControl w:val="0"/>
        <w:spacing w:line="240" w:lineRule="exact"/>
        <w:jc w:val="both"/>
        <w:rPr>
          <w:rFonts w:hint="default" w:ascii="Times New Roman" w:hAnsi="Times New Roman" w:cs="Times New Roman"/>
          <w:kern w:val="2"/>
          <w:sz w:val="21"/>
          <w:szCs w:val="21"/>
        </w:rPr>
      </w:pPr>
      <w:r>
        <w:rPr>
          <w:rFonts w:hint="default" w:ascii="Times New Roman" w:hAnsi="Times New Roman" w:cs="Times New Roman"/>
          <w:kern w:val="2"/>
          <w:sz w:val="21"/>
          <w:szCs w:val="21"/>
          <w:lang w:bidi="ar"/>
        </w:rPr>
        <w:t xml:space="preserve"> </w:t>
      </w:r>
    </w:p>
    <w:p>
      <w:pPr>
        <w:rPr>
          <w:rFonts w:hint="default" w:ascii="Times New Roman" w:hAnsi="Times New Roman" w:eastAsia="方正黑体_GBK" w:cs="Times New Roman"/>
          <w:kern w:val="2"/>
        </w:rPr>
        <w:sectPr>
          <w:footerReference r:id="rId7" w:type="default"/>
          <w:pgSz w:w="11906" w:h="16838"/>
          <w:pgMar w:top="2041" w:right="1531" w:bottom="2041" w:left="1531" w:header="851" w:footer="1134" w:gutter="0"/>
          <w:pgNumType w:fmt="decimal"/>
          <w:cols w:space="0" w:num="1"/>
          <w:rtlGutter w:val="0"/>
          <w:docGrid w:type="lines" w:linePitch="442" w:charSpace="0"/>
        </w:sectPr>
      </w:pPr>
    </w:p>
    <w:p>
      <w:pPr>
        <w:widowControl w:val="0"/>
        <w:autoSpaceDE w:val="0"/>
        <w:autoSpaceDN w:val="0"/>
        <w:adjustRightInd w:val="0"/>
        <w:snapToGrid w:val="0"/>
        <w:spacing w:line="580" w:lineRule="exact"/>
        <w:jc w:val="both"/>
        <w:rPr>
          <w:rFonts w:hint="default" w:ascii="Times New Roman" w:hAnsi="Times New Roman" w:eastAsia="方正黑体_GBK" w:cs="Times New Roman"/>
          <w:kern w:val="2"/>
        </w:rPr>
      </w:pPr>
      <w:r>
        <w:rPr>
          <w:rFonts w:hint="default" w:ascii="Times New Roman" w:hAnsi="Times New Roman" w:eastAsia="方正黑体_GBK" w:cs="Times New Roman"/>
          <w:kern w:val="2"/>
          <w:lang w:bidi="ar"/>
        </w:rPr>
        <w:t>附件3</w:t>
      </w:r>
    </w:p>
    <w:p>
      <w:pPr>
        <w:pStyle w:val="8"/>
        <w:widowControl w:val="0"/>
        <w:spacing w:line="700" w:lineRule="exact"/>
        <w:jc w:val="center"/>
        <w:rPr>
          <w:rFonts w:hint="default" w:ascii="Times New Roman" w:hAnsi="Times New Roman" w:cs="Times New Roman" w:eastAsiaTheme="majorEastAsia"/>
          <w:bCs/>
          <w:sz w:val="44"/>
          <w:szCs w:val="44"/>
        </w:rPr>
      </w:pPr>
      <w:r>
        <w:rPr>
          <w:rFonts w:hint="default" w:ascii="Times New Roman" w:hAnsi="Times New Roman" w:cs="Times New Roman" w:eastAsiaTheme="majorEastAsia"/>
          <w:bCs/>
          <w:sz w:val="44"/>
          <w:szCs w:val="44"/>
        </w:rPr>
        <w:t>废止的行政规范性文件目录</w:t>
      </w:r>
    </w:p>
    <w:p>
      <w:pPr>
        <w:widowControl w:val="0"/>
        <w:spacing w:line="240" w:lineRule="exact"/>
        <w:jc w:val="both"/>
        <w:rPr>
          <w:rFonts w:hint="default" w:ascii="Times New Roman" w:hAnsi="Times New Roman" w:eastAsia="方正仿宋_GBK" w:cs="Times New Roman"/>
          <w:kern w:val="2"/>
          <w:sz w:val="21"/>
          <w:szCs w:val="21"/>
        </w:rPr>
      </w:pPr>
      <w:r>
        <w:rPr>
          <w:rFonts w:hint="default" w:ascii="Times New Roman" w:hAnsi="Times New Roman" w:eastAsia="方正仿宋_GBK" w:cs="Times New Roman"/>
          <w:kern w:val="2"/>
          <w:sz w:val="21"/>
          <w:szCs w:val="21"/>
          <w:lang w:bidi="ar"/>
        </w:rPr>
        <w:t xml:space="preserve"> </w:t>
      </w:r>
    </w:p>
    <w:tbl>
      <w:tblPr>
        <w:tblStyle w:val="10"/>
        <w:tblW w:w="9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58"/>
        <w:gridCol w:w="6589"/>
        <w:gridCol w:w="2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4" w:hRule="atLeast"/>
          <w:jc w:val="center"/>
        </w:trPr>
        <w:tc>
          <w:tcPr>
            <w:tcW w:w="55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300" w:lineRule="exact"/>
              <w:jc w:val="center"/>
              <w:rPr>
                <w:rFonts w:hint="default" w:ascii="Times New Roman" w:hAnsi="Times New Roman" w:eastAsia="方正黑体_GBK" w:cs="Times New Roman"/>
                <w:kern w:val="2"/>
                <w:sz w:val="21"/>
                <w:szCs w:val="21"/>
              </w:rPr>
            </w:pPr>
            <w:r>
              <w:rPr>
                <w:rFonts w:hint="default" w:ascii="Times New Roman" w:hAnsi="Times New Roman" w:eastAsia="方正黑体_GBK" w:cs="Times New Roman"/>
                <w:kern w:val="2"/>
                <w:sz w:val="21"/>
                <w:szCs w:val="21"/>
                <w:lang w:bidi="ar"/>
              </w:rPr>
              <w:t>序号</w:t>
            </w:r>
          </w:p>
        </w:tc>
        <w:tc>
          <w:tcPr>
            <w:tcW w:w="65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300" w:lineRule="exact"/>
              <w:jc w:val="center"/>
              <w:rPr>
                <w:rFonts w:hint="default" w:ascii="Times New Roman" w:hAnsi="Times New Roman" w:eastAsia="方正黑体_GBK" w:cs="Times New Roman"/>
                <w:kern w:val="2"/>
                <w:sz w:val="21"/>
                <w:szCs w:val="21"/>
              </w:rPr>
            </w:pPr>
            <w:r>
              <w:rPr>
                <w:rFonts w:hint="default" w:ascii="Times New Roman" w:hAnsi="Times New Roman" w:eastAsia="方正黑体_GBK" w:cs="Times New Roman"/>
                <w:kern w:val="2"/>
                <w:sz w:val="21"/>
                <w:szCs w:val="21"/>
                <w:lang w:bidi="ar"/>
              </w:rPr>
              <w:t>文件名称</w:t>
            </w:r>
          </w:p>
        </w:tc>
        <w:tc>
          <w:tcPr>
            <w:tcW w:w="23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spacing w:line="300" w:lineRule="exact"/>
              <w:jc w:val="center"/>
              <w:rPr>
                <w:rFonts w:hint="default" w:ascii="Times New Roman" w:hAnsi="Times New Roman" w:eastAsia="方正黑体_GBK" w:cs="Times New Roman"/>
                <w:kern w:val="2"/>
                <w:sz w:val="21"/>
                <w:szCs w:val="21"/>
              </w:rPr>
            </w:pPr>
            <w:r>
              <w:rPr>
                <w:rFonts w:hint="default" w:ascii="Times New Roman" w:hAnsi="Times New Roman" w:eastAsia="方正黑体_GBK" w:cs="Times New Roman"/>
                <w:kern w:val="2"/>
                <w:sz w:val="21"/>
                <w:szCs w:val="21"/>
                <w:lang w:bidi="ar"/>
              </w:rPr>
              <w:t>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9" w:hRule="atLeast"/>
          <w:jc w:val="center"/>
        </w:trPr>
        <w:tc>
          <w:tcPr>
            <w:tcW w:w="55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1</w:t>
            </w:r>
          </w:p>
        </w:tc>
        <w:tc>
          <w:tcPr>
            <w:tcW w:w="65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泗洪县人民政府关于禁止非法开采凹凸棒石粘土膨润土资源的通告</w:t>
            </w:r>
          </w:p>
        </w:tc>
        <w:tc>
          <w:tcPr>
            <w:tcW w:w="23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sz w:val="24"/>
                <w:szCs w:val="24"/>
                <w:lang w:bidi="ar"/>
              </w:rPr>
              <w:t>洪政发〔2015〕44号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70" w:hRule="atLeast"/>
          <w:jc w:val="center"/>
        </w:trPr>
        <w:tc>
          <w:tcPr>
            <w:tcW w:w="55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2</w:t>
            </w:r>
          </w:p>
        </w:tc>
        <w:tc>
          <w:tcPr>
            <w:tcW w:w="65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泗洪县人民政府关于印发泗洪县农村承包土地的经营权抵押贷款试点</w:t>
            </w:r>
          </w:p>
          <w:p>
            <w:pPr>
              <w:spacing w:line="300" w:lineRule="exact"/>
              <w:jc w:val="center"/>
              <w:textAlignment w:val="center"/>
              <w:rPr>
                <w:rFonts w:hint="default" w:ascii="Times New Roman" w:hAnsi="Times New Roman" w:eastAsia="方正仿宋_GBK" w:cs="Times New Roman"/>
                <w:sz w:val="21"/>
                <w:szCs w:val="21"/>
                <w:lang w:bidi="ar"/>
              </w:rPr>
            </w:pPr>
            <w:r>
              <w:rPr>
                <w:rFonts w:hint="default" w:ascii="Times New Roman" w:hAnsi="Times New Roman" w:eastAsia="方正仿宋_GBK" w:cs="Times New Roman"/>
                <w:sz w:val="21"/>
                <w:szCs w:val="21"/>
                <w:lang w:bidi="ar"/>
              </w:rPr>
              <w:t>工作实施方案补充规定（试行）的通知</w:t>
            </w:r>
          </w:p>
        </w:tc>
        <w:tc>
          <w:tcPr>
            <w:tcW w:w="23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hint="default" w:ascii="Times New Roman" w:hAnsi="Times New Roman" w:eastAsia="方正仿宋_GBK" w:cs="Times New Roman"/>
                <w:sz w:val="21"/>
                <w:szCs w:val="21"/>
              </w:rPr>
            </w:pPr>
            <w:r>
              <w:rPr>
                <w:rFonts w:hint="default" w:ascii="Times New Roman" w:hAnsi="Times New Roman" w:eastAsia="方正仿宋_GBK" w:cs="Times New Roman"/>
                <w:sz w:val="24"/>
                <w:szCs w:val="24"/>
                <w:lang w:bidi="ar"/>
              </w:rPr>
              <w:t>洪政发〔2016〕42号</w:t>
            </w:r>
          </w:p>
        </w:tc>
      </w:tr>
    </w:tbl>
    <w:p>
      <w:pPr>
        <w:pStyle w:val="13"/>
        <w:ind w:left="640" w:firstLine="640"/>
        <w:rPr>
          <w:rFonts w:hint="default" w:ascii="Times New Roman" w:hAnsi="Times New Roman" w:cs="Times New Roman"/>
        </w:rPr>
      </w:pPr>
    </w:p>
    <w:p>
      <w:pPr>
        <w:pStyle w:val="13"/>
        <w:ind w:left="640" w:firstLine="640"/>
        <w:rPr>
          <w:rFonts w:hint="default" w:ascii="Times New Roman" w:hAnsi="Times New Roman" w:cs="Times New Roman"/>
        </w:rPr>
      </w:pPr>
    </w:p>
    <w:p>
      <w:pPr>
        <w:pStyle w:val="13"/>
        <w:ind w:left="640" w:firstLine="640"/>
        <w:rPr>
          <w:rFonts w:hint="default" w:ascii="Times New Roman" w:hAnsi="Times New Roman" w:cs="Times New Roman"/>
        </w:rPr>
      </w:pPr>
    </w:p>
    <w:p>
      <w:pPr>
        <w:pStyle w:val="13"/>
        <w:ind w:left="640" w:firstLine="640"/>
        <w:rPr>
          <w:rFonts w:hint="default" w:ascii="Times New Roman" w:hAnsi="Times New Roman" w:cs="Times New Roman"/>
        </w:rPr>
      </w:pPr>
    </w:p>
    <w:p>
      <w:pPr>
        <w:pStyle w:val="13"/>
        <w:ind w:left="640" w:firstLine="640"/>
        <w:rPr>
          <w:rFonts w:hint="default" w:ascii="Times New Roman" w:hAnsi="Times New Roman" w:cs="Times New Roman"/>
        </w:rPr>
      </w:pPr>
    </w:p>
    <w:p>
      <w:pPr>
        <w:pStyle w:val="13"/>
        <w:ind w:left="640" w:firstLine="640"/>
        <w:rPr>
          <w:rFonts w:hint="default" w:ascii="Times New Roman" w:hAnsi="Times New Roman" w:cs="Times New Roman"/>
        </w:rPr>
      </w:pPr>
    </w:p>
    <w:p>
      <w:pPr>
        <w:pStyle w:val="13"/>
        <w:ind w:left="640" w:firstLine="640"/>
        <w:rPr>
          <w:rFonts w:hint="default" w:ascii="Times New Roman" w:hAnsi="Times New Roman" w:cs="Times New Roman"/>
        </w:rPr>
      </w:pPr>
    </w:p>
    <w:p>
      <w:pPr>
        <w:pStyle w:val="13"/>
        <w:ind w:left="640" w:firstLine="640"/>
        <w:rPr>
          <w:rFonts w:hint="default" w:ascii="Times New Roman" w:hAnsi="Times New Roman" w:cs="Times New Roman"/>
        </w:rPr>
      </w:pPr>
    </w:p>
    <w:p>
      <w:pPr>
        <w:pStyle w:val="13"/>
        <w:ind w:left="640" w:firstLine="640"/>
        <w:rPr>
          <w:rFonts w:hint="default" w:ascii="Times New Roman" w:hAnsi="Times New Roman" w:cs="Times New Roman"/>
        </w:rPr>
      </w:pPr>
    </w:p>
    <w:p>
      <w:pPr>
        <w:pStyle w:val="13"/>
        <w:ind w:left="640" w:firstLine="640"/>
        <w:rPr>
          <w:rFonts w:hint="default" w:ascii="Times New Roman" w:hAnsi="Times New Roman" w:cs="Times New Roman"/>
        </w:rPr>
      </w:pPr>
    </w:p>
    <w:p>
      <w:pPr>
        <w:pStyle w:val="13"/>
        <w:ind w:left="640" w:firstLine="640"/>
        <w:rPr>
          <w:rFonts w:hint="default" w:ascii="Times New Roman" w:hAnsi="Times New Roman" w:cs="Times New Roman"/>
        </w:rPr>
      </w:pPr>
    </w:p>
    <w:p>
      <w:pPr>
        <w:pStyle w:val="13"/>
        <w:ind w:left="640" w:firstLine="640"/>
        <w:rPr>
          <w:rFonts w:hint="default" w:ascii="Times New Roman" w:hAnsi="Times New Roman" w:cs="Times New Roman"/>
        </w:rPr>
      </w:pPr>
    </w:p>
    <w:p>
      <w:pPr>
        <w:pStyle w:val="13"/>
        <w:ind w:left="640" w:firstLine="640"/>
        <w:rPr>
          <w:rFonts w:hint="default" w:ascii="Times New Roman" w:hAnsi="Times New Roman" w:cs="Times New Roman"/>
        </w:rPr>
      </w:pPr>
    </w:p>
    <w:p>
      <w:pPr>
        <w:pStyle w:val="13"/>
        <w:ind w:left="640" w:firstLine="640"/>
        <w:rPr>
          <w:rFonts w:hint="default" w:ascii="Times New Roman" w:hAnsi="Times New Roman" w:cs="Times New Roman"/>
        </w:rPr>
      </w:pPr>
    </w:p>
    <w:p>
      <w:pPr>
        <w:pStyle w:val="13"/>
        <w:keepNext w:val="0"/>
        <w:keepLines w:val="0"/>
        <w:pageBreakBefore w:val="0"/>
        <w:widowControl/>
        <w:kinsoku/>
        <w:wordWrap/>
        <w:overflowPunct/>
        <w:topLinePunct w:val="0"/>
        <w:autoSpaceDE/>
        <w:autoSpaceDN/>
        <w:bidi w:val="0"/>
        <w:adjustRightInd/>
        <w:snapToGrid/>
        <w:spacing w:after="0" w:line="40" w:lineRule="exact"/>
        <w:ind w:left="0" w:leftChars="0" w:firstLine="0" w:firstLineChars="0"/>
        <w:textAlignment w:val="baseline"/>
        <w:rPr>
          <w:rFonts w:hint="default" w:ascii="Times New Roman" w:hAnsi="Times New Roman" w:cs="Times New Roman"/>
        </w:rPr>
      </w:pPr>
    </w:p>
    <w:sectPr>
      <w:pgSz w:w="11906" w:h="16838"/>
      <w:pgMar w:top="2041" w:right="1531" w:bottom="2041" w:left="1531" w:header="851" w:footer="1474" w:gutter="0"/>
      <w:pgNumType w:fmt="decimal"/>
      <w:cols w:space="0" w:num="1"/>
      <w:rtlGutter w:val="0"/>
      <w:docGrid w:type="lines" w:linePitch="44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幼圆">
    <w:panose1 w:val="02010509060101010101"/>
    <w:charset w:val="86"/>
    <w:family w:val="auto"/>
    <w:pitch w:val="default"/>
    <w:sig w:usb0="00000001" w:usb1="080E0000" w:usb2="00000000" w:usb3="00000000" w:csb0="00040000" w:csb1="00000000"/>
  </w:font>
  <w:font w:name="Segoe UI Semibold">
    <w:panose1 w:val="020B0702040204020203"/>
    <w:charset w:val="00"/>
    <w:family w:val="auto"/>
    <w:pitch w:val="default"/>
    <w:sig w:usb0="E00002FF" w:usb1="4000A47B" w:usb2="00000001" w:usb3="00000000" w:csb0="2000019F" w:csb1="00000000"/>
  </w:font>
  <w:font w:name="Segoe Print">
    <w:panose1 w:val="02000600000000000000"/>
    <w:charset w:val="00"/>
    <w:family w:val="auto"/>
    <w:pitch w:val="default"/>
    <w:sig w:usb0="0000028F" w:usb1="00000000" w:usb2="00000000" w:usb3="00000000" w:csb0="2000009F" w:csb1="47010000"/>
  </w:font>
  <w:font w:name="Simplified Arabic Fixed">
    <w:panose1 w:val="02070309020205020404"/>
    <w:charset w:val="00"/>
    <w:family w:val="auto"/>
    <w:pitch w:val="default"/>
    <w:sig w:usb0="00002003" w:usb1="00000000" w:usb2="00000000" w:usb3="00000000" w:csb0="00000041" w:csb1="20080000"/>
  </w:font>
  <w:font w:name="Shonar Bangla">
    <w:panose1 w:val="020B0502040204020203"/>
    <w:charset w:val="00"/>
    <w:family w:val="auto"/>
    <w:pitch w:val="default"/>
    <w:sig w:usb0="0001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1"/>
        <w:right w:val="none" w:color="auto" w:sz="0" w:space="0"/>
        <w:between w:val="none" w:color="auto" w:sz="0" w:space="0"/>
      </w:pBdr>
      <w:ind w:left="7296"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5"/>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r>
      <w:rPr>
        <w:rFonts w:hint="eastAsia" w:eastAsia="仿宋"/>
        <w:sz w:val="32"/>
        <w:szCs w:val="48"/>
      </w:rPr>
      <w:t xml:space="preserve">  </w:t>
    </w:r>
  </w:p>
  <w:p>
    <w:pPr>
      <w:pStyle w:val="5"/>
      <w:ind w:left="480" w:leftChars="150" w:right="480" w:rightChars="150"/>
      <w:jc w:val="right"/>
      <w:rPr>
        <w:sz w:val="32"/>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p>
  <w:p>
    <w:pPr>
      <w:pStyle w:val="5"/>
      <w:ind w:left="480" w:leftChars="150" w:right="480" w:rightChars="150"/>
      <w:jc w:val="right"/>
      <w:rPr>
        <w:rFonts w:ascii="宋体" w:cs="宋体"/>
        <w:sz w:val="28"/>
        <w:szCs w:val="28"/>
      </w:rPr>
    </w:pPr>
    <w:r>
      <w:rPr>
        <w:rFonts w:hint="eastAsia" w:ascii="宋体" w:hAnsi="宋体" w:cs="宋体"/>
        <w:b/>
        <w:bCs/>
        <w:color w:val="005192"/>
        <w:sz w:val="28"/>
        <w:szCs w:val="44"/>
        <w:lang w:eastAsia="zh-CN"/>
      </w:rPr>
      <w:t>泗洪县</w:t>
    </w:r>
    <w:r>
      <w:rPr>
        <w:rFonts w:hint="eastAsia" w:ascii="宋体" w:hAnsi="宋体" w:cs="宋体"/>
        <w:b/>
        <w:bCs/>
        <w:color w:val="005192"/>
        <w:sz w:val="28"/>
        <w:szCs w:val="44"/>
      </w:rPr>
      <w:t xml:space="preserve">人民政府发布   </w: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1"/>
        <w:right w:val="none" w:color="auto" w:sz="0" w:space="0"/>
        <w:between w:val="none" w:color="auto" w:sz="0" w:space="0"/>
      </w:pBdr>
      <w:ind w:left="7296" w:leftChars="2280" w:firstLine="6400" w:firstLineChars="2000"/>
      <w:rPr>
        <w:rFonts w:eastAsia="仿宋"/>
        <w:sz w:val="32"/>
        <w:szCs w:val="48"/>
      </w:rPr>
    </w:pPr>
    <w:r>
      <w:rPr>
        <w:sz w:val="32"/>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5"/>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r>
      <w:rPr>
        <w:rFonts w:hint="eastAsia" w:eastAsia="仿宋"/>
        <w:sz w:val="32"/>
        <w:szCs w:val="48"/>
      </w:rPr>
      <w:t xml:space="preserve">  </w:t>
    </w:r>
  </w:p>
  <w:p>
    <w:pPr>
      <w:pStyle w:val="5"/>
      <w:ind w:left="480" w:leftChars="150" w:right="480" w:rightChars="150"/>
      <w:jc w:val="right"/>
      <w:rPr>
        <w:sz w:val="32"/>
      </w:rPr>
    </w:pPr>
    <w:r>
      <w:rPr>
        <w:sz w:val="32"/>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9" name="直接连接符 9"/>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2336;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jNpwPu8BAADDAwAADgAAAAAAAAABACAAAAAjAQAAZHJzL2Uyb0RvYy54bWxQSwUGAAAAAAYA&#10;BgBZAQAAhAUAAAAA&#10;">
              <v:fill on="f" focussize="0,0"/>
              <v:stroke weight="1.75pt" color="#005192" miterlimit="8" joinstyle="miter"/>
              <v:imagedata o:title=""/>
              <o:lock v:ext="edit" aspectratio="f"/>
            </v:line>
          </w:pict>
        </mc:Fallback>
      </mc:AlternateContent>
    </w:r>
  </w:p>
  <w:p>
    <w:pPr>
      <w:pStyle w:val="5"/>
      <w:ind w:left="480" w:leftChars="150" w:right="480" w:rightChars="150"/>
      <w:jc w:val="right"/>
      <w:rPr>
        <w:rFonts w:ascii="宋体" w:cs="宋体"/>
        <w:sz w:val="28"/>
        <w:szCs w:val="28"/>
      </w:rPr>
    </w:pPr>
    <w:r>
      <w:rPr>
        <w:rFonts w:hint="eastAsia" w:ascii="宋体" w:hAnsi="宋体" w:cs="宋体"/>
        <w:b/>
        <w:bCs/>
        <w:color w:val="005192"/>
        <w:sz w:val="28"/>
        <w:szCs w:val="44"/>
        <w:lang w:eastAsia="zh-CN"/>
      </w:rPr>
      <w:t>泗洪县</w:t>
    </w:r>
    <w:r>
      <w:rPr>
        <w:rFonts w:hint="eastAsia" w:ascii="宋体" w:hAnsi="宋体" w:cs="宋体"/>
        <w:b/>
        <w:bCs/>
        <w:color w:val="005192"/>
        <w:sz w:val="28"/>
        <w:szCs w:val="44"/>
      </w:rPr>
      <w:t xml:space="preserve">人民政府发布   </w:t>
    </w:r>
  </w:p>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val="0"/>
      <w:pBdr>
        <w:top w:val="none" w:color="auto" w:sz="0" w:space="0"/>
        <w:left w:val="none" w:color="auto" w:sz="0" w:space="0"/>
        <w:bottom w:val="none" w:color="auto" w:sz="0" w:space="1"/>
        <w:right w:val="none" w:color="auto" w:sz="0" w:space="0"/>
        <w:between w:val="none" w:color="auto" w:sz="0" w:space="0"/>
      </w:pBdr>
      <w:textAlignment w:val="center"/>
      <w:rPr>
        <w:rFonts w:ascii="宋体" w:hAnsi="宋体" w:cs="宋体"/>
        <w:b/>
        <w:bCs/>
        <w:color w:val="005192"/>
        <w:sz w:val="32"/>
      </w:rPr>
    </w:pPr>
    <w:r>
      <w:rPr>
        <w:rFonts w:hint="eastAsia" w:ascii="宋体" w:hAnsi="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6"/>
      <w:widowControl w:val="0"/>
      <w:pBdr>
        <w:top w:val="none" w:color="auto" w:sz="0" w:space="0"/>
        <w:left w:val="none" w:color="auto" w:sz="0" w:space="0"/>
        <w:bottom w:val="none" w:color="auto" w:sz="0" w:space="1"/>
        <w:right w:val="none" w:color="auto" w:sz="0" w:space="0"/>
        <w:between w:val="none" w:color="auto" w:sz="0" w:space="0"/>
      </w:pBdr>
      <w:jc w:val="both"/>
      <w:textAlignment w:val="center"/>
      <w:rPr>
        <w:rFonts w:hint="eastAsia" w:asciiTheme="minorEastAsia" w:hAnsiTheme="minorEastAsia" w:eastAsiaTheme="minorEastAsia" w:cstheme="minorEastAsia"/>
        <w:b/>
        <w:bCs/>
        <w:color w:val="005192"/>
        <w:sz w:val="32"/>
        <w:szCs w:val="32"/>
        <w:u w:val="none"/>
      </w:rPr>
    </w:pPr>
    <w:r>
      <w:rPr>
        <w:rFonts w:hint="eastAsia" w:ascii="宋体" w:hAnsi="宋体" w:cs="宋体"/>
        <w:b/>
        <w:bCs/>
        <w:color w:val="005192"/>
        <w:sz w:val="32"/>
      </w:rPr>
      <w:drawing>
        <wp:inline distT="0" distB="0" distL="114300" distR="114300">
          <wp:extent cx="308610" cy="308610"/>
          <wp:effectExtent l="0" t="0" r="15240" b="1524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Theme="minorEastAsia" w:hAnsiTheme="minorEastAsia" w:eastAsiaTheme="minorEastAsia" w:cstheme="minorEastAsia"/>
        <w:b/>
        <w:bCs/>
        <w:color w:val="005192"/>
        <w:sz w:val="32"/>
        <w:u w:val="none"/>
        <w:lang w:eastAsia="zh-CN"/>
      </w:rPr>
      <w:t>泗洪县</w:t>
    </w:r>
    <w:r>
      <w:rPr>
        <w:rFonts w:hint="eastAsia" w:asciiTheme="minorEastAsia" w:hAnsiTheme="minorEastAsia" w:eastAsiaTheme="minorEastAsia" w:cstheme="minorEastAsia"/>
        <w:b/>
        <w:bCs/>
        <w:color w:val="005192"/>
        <w:sz w:val="32"/>
        <w:szCs w:val="32"/>
        <w:u w:val="none"/>
      </w:rPr>
      <w:t>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320"/>
  <w:drawingGridVerticalSpacing w:val="221"/>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2YjYwYmI3Y2E5NjZmN2RhOGFkNzg4MzNhZjIwNGUifQ=="/>
  </w:docVars>
  <w:rsids>
    <w:rsidRoot w:val="2ACB46BA"/>
    <w:rsid w:val="0006193C"/>
    <w:rsid w:val="000C3CAE"/>
    <w:rsid w:val="000D108A"/>
    <w:rsid w:val="00117CD3"/>
    <w:rsid w:val="001831EE"/>
    <w:rsid w:val="001C235F"/>
    <w:rsid w:val="00266105"/>
    <w:rsid w:val="002B1CF7"/>
    <w:rsid w:val="003555D1"/>
    <w:rsid w:val="00366F32"/>
    <w:rsid w:val="00381497"/>
    <w:rsid w:val="003F14D1"/>
    <w:rsid w:val="003F3D34"/>
    <w:rsid w:val="003F7227"/>
    <w:rsid w:val="004076BE"/>
    <w:rsid w:val="00421583"/>
    <w:rsid w:val="00465A51"/>
    <w:rsid w:val="004C42E5"/>
    <w:rsid w:val="004D62AE"/>
    <w:rsid w:val="00502446"/>
    <w:rsid w:val="00565C03"/>
    <w:rsid w:val="00571EDD"/>
    <w:rsid w:val="006179B5"/>
    <w:rsid w:val="0062353E"/>
    <w:rsid w:val="006274FE"/>
    <w:rsid w:val="0064041F"/>
    <w:rsid w:val="00693E73"/>
    <w:rsid w:val="006C0EAD"/>
    <w:rsid w:val="006D777A"/>
    <w:rsid w:val="006E442C"/>
    <w:rsid w:val="006E71A8"/>
    <w:rsid w:val="00733735"/>
    <w:rsid w:val="0075149A"/>
    <w:rsid w:val="0077353E"/>
    <w:rsid w:val="007B25B1"/>
    <w:rsid w:val="007C7575"/>
    <w:rsid w:val="007E72C7"/>
    <w:rsid w:val="00807880"/>
    <w:rsid w:val="00810DE3"/>
    <w:rsid w:val="00817B14"/>
    <w:rsid w:val="00825CF2"/>
    <w:rsid w:val="00833E02"/>
    <w:rsid w:val="008405BF"/>
    <w:rsid w:val="00851CCF"/>
    <w:rsid w:val="008619AB"/>
    <w:rsid w:val="00873BCD"/>
    <w:rsid w:val="00882B8C"/>
    <w:rsid w:val="00921770"/>
    <w:rsid w:val="009525A5"/>
    <w:rsid w:val="00974AE9"/>
    <w:rsid w:val="00984FFF"/>
    <w:rsid w:val="009A334E"/>
    <w:rsid w:val="009B3CA9"/>
    <w:rsid w:val="009F3497"/>
    <w:rsid w:val="00A84895"/>
    <w:rsid w:val="00AB618D"/>
    <w:rsid w:val="00AC233D"/>
    <w:rsid w:val="00AF202C"/>
    <w:rsid w:val="00AF443B"/>
    <w:rsid w:val="00B635FE"/>
    <w:rsid w:val="00BD56EA"/>
    <w:rsid w:val="00C60633"/>
    <w:rsid w:val="00C82A9A"/>
    <w:rsid w:val="00D3035F"/>
    <w:rsid w:val="00D634F5"/>
    <w:rsid w:val="00D968F3"/>
    <w:rsid w:val="00E41A23"/>
    <w:rsid w:val="00E62399"/>
    <w:rsid w:val="00EC18D9"/>
    <w:rsid w:val="00EC41D5"/>
    <w:rsid w:val="00EE4E2A"/>
    <w:rsid w:val="00F40FEA"/>
    <w:rsid w:val="00FC77E7"/>
    <w:rsid w:val="00FF2409"/>
    <w:rsid w:val="00FF7FF2"/>
    <w:rsid w:val="015A1068"/>
    <w:rsid w:val="01717F83"/>
    <w:rsid w:val="018329FD"/>
    <w:rsid w:val="02215ABC"/>
    <w:rsid w:val="04586B10"/>
    <w:rsid w:val="05CE627D"/>
    <w:rsid w:val="062A404A"/>
    <w:rsid w:val="070F231A"/>
    <w:rsid w:val="07631381"/>
    <w:rsid w:val="07A56692"/>
    <w:rsid w:val="07B3140E"/>
    <w:rsid w:val="09860F73"/>
    <w:rsid w:val="09E25264"/>
    <w:rsid w:val="0ACE2D98"/>
    <w:rsid w:val="0BBB203D"/>
    <w:rsid w:val="0BF26623"/>
    <w:rsid w:val="0CFA40A5"/>
    <w:rsid w:val="0ECC33B3"/>
    <w:rsid w:val="0F19414D"/>
    <w:rsid w:val="0F8359FE"/>
    <w:rsid w:val="100C2282"/>
    <w:rsid w:val="1079122E"/>
    <w:rsid w:val="113969C6"/>
    <w:rsid w:val="127E16E4"/>
    <w:rsid w:val="128F4E5F"/>
    <w:rsid w:val="13A55FDA"/>
    <w:rsid w:val="15666408"/>
    <w:rsid w:val="158C5A74"/>
    <w:rsid w:val="15C70ADF"/>
    <w:rsid w:val="1774592B"/>
    <w:rsid w:val="1880333C"/>
    <w:rsid w:val="18F133E7"/>
    <w:rsid w:val="19247994"/>
    <w:rsid w:val="19337D29"/>
    <w:rsid w:val="1A1579A3"/>
    <w:rsid w:val="1A9854E4"/>
    <w:rsid w:val="1C9D42AD"/>
    <w:rsid w:val="1CB754AE"/>
    <w:rsid w:val="1D1F4BB6"/>
    <w:rsid w:val="1D5C7D9E"/>
    <w:rsid w:val="1F7F7135"/>
    <w:rsid w:val="202F2D26"/>
    <w:rsid w:val="2056301A"/>
    <w:rsid w:val="21823F03"/>
    <w:rsid w:val="240B6BD1"/>
    <w:rsid w:val="24C43866"/>
    <w:rsid w:val="25CE2BC6"/>
    <w:rsid w:val="25E422DC"/>
    <w:rsid w:val="26267333"/>
    <w:rsid w:val="26E81685"/>
    <w:rsid w:val="26F77FC9"/>
    <w:rsid w:val="27176A25"/>
    <w:rsid w:val="27DA6677"/>
    <w:rsid w:val="28066B90"/>
    <w:rsid w:val="284579C7"/>
    <w:rsid w:val="29311820"/>
    <w:rsid w:val="299B6FD3"/>
    <w:rsid w:val="2A50758B"/>
    <w:rsid w:val="2ACB46BA"/>
    <w:rsid w:val="2AD803DB"/>
    <w:rsid w:val="2B501A35"/>
    <w:rsid w:val="2B851386"/>
    <w:rsid w:val="2BAD666B"/>
    <w:rsid w:val="2BF02EF5"/>
    <w:rsid w:val="2CC04AB1"/>
    <w:rsid w:val="2CCE3B3F"/>
    <w:rsid w:val="2DCB37A3"/>
    <w:rsid w:val="2FCC4112"/>
    <w:rsid w:val="304C094A"/>
    <w:rsid w:val="305F38FB"/>
    <w:rsid w:val="30AE052C"/>
    <w:rsid w:val="329546F1"/>
    <w:rsid w:val="332E1777"/>
    <w:rsid w:val="335928B1"/>
    <w:rsid w:val="343A23A9"/>
    <w:rsid w:val="35D87686"/>
    <w:rsid w:val="369A7E8B"/>
    <w:rsid w:val="36A34893"/>
    <w:rsid w:val="37157B86"/>
    <w:rsid w:val="38235341"/>
    <w:rsid w:val="38FA4201"/>
    <w:rsid w:val="392E030F"/>
    <w:rsid w:val="39837AA9"/>
    <w:rsid w:val="39DD3208"/>
    <w:rsid w:val="3ABF7386"/>
    <w:rsid w:val="3E2D0933"/>
    <w:rsid w:val="3E9963A5"/>
    <w:rsid w:val="3EB1451B"/>
    <w:rsid w:val="3EEF3BAF"/>
    <w:rsid w:val="421834B1"/>
    <w:rsid w:val="43A24CC5"/>
    <w:rsid w:val="446C4FA8"/>
    <w:rsid w:val="44754359"/>
    <w:rsid w:val="44BE7B1A"/>
    <w:rsid w:val="44F8167E"/>
    <w:rsid w:val="453E08C5"/>
    <w:rsid w:val="45987F9E"/>
    <w:rsid w:val="473348CC"/>
    <w:rsid w:val="47EF2FD7"/>
    <w:rsid w:val="48942B24"/>
    <w:rsid w:val="4A780953"/>
    <w:rsid w:val="4AA2211E"/>
    <w:rsid w:val="4B8058CD"/>
    <w:rsid w:val="4BBB19E1"/>
    <w:rsid w:val="4C3C75F8"/>
    <w:rsid w:val="4CBE7AB3"/>
    <w:rsid w:val="4DFB04EB"/>
    <w:rsid w:val="4E014D85"/>
    <w:rsid w:val="4E981308"/>
    <w:rsid w:val="4F5257CD"/>
    <w:rsid w:val="51614329"/>
    <w:rsid w:val="51EE0B2B"/>
    <w:rsid w:val="54127015"/>
    <w:rsid w:val="57BE760E"/>
    <w:rsid w:val="57F91671"/>
    <w:rsid w:val="584E3907"/>
    <w:rsid w:val="58B55D9B"/>
    <w:rsid w:val="59066BB0"/>
    <w:rsid w:val="5AB2235E"/>
    <w:rsid w:val="5C15390A"/>
    <w:rsid w:val="5C9A0FF6"/>
    <w:rsid w:val="5D195EF6"/>
    <w:rsid w:val="5D8147CB"/>
    <w:rsid w:val="5E3B719E"/>
    <w:rsid w:val="5EE66E12"/>
    <w:rsid w:val="6043141C"/>
    <w:rsid w:val="60C90D8B"/>
    <w:rsid w:val="61072013"/>
    <w:rsid w:val="61B4406D"/>
    <w:rsid w:val="63405539"/>
    <w:rsid w:val="63CC4651"/>
    <w:rsid w:val="63FB5AF1"/>
    <w:rsid w:val="640F3D7B"/>
    <w:rsid w:val="641E79ED"/>
    <w:rsid w:val="66EC7C80"/>
    <w:rsid w:val="67DF3DC4"/>
    <w:rsid w:val="68234719"/>
    <w:rsid w:val="68763EAD"/>
    <w:rsid w:val="68F93D67"/>
    <w:rsid w:val="69091891"/>
    <w:rsid w:val="69334787"/>
    <w:rsid w:val="6BBF53F1"/>
    <w:rsid w:val="6BF95834"/>
    <w:rsid w:val="6C4D2EA0"/>
    <w:rsid w:val="6C787FFA"/>
    <w:rsid w:val="6E586EDC"/>
    <w:rsid w:val="6FA04871"/>
    <w:rsid w:val="700A164D"/>
    <w:rsid w:val="722D0BB2"/>
    <w:rsid w:val="72F17BE2"/>
    <w:rsid w:val="72FD42D3"/>
    <w:rsid w:val="73CA5541"/>
    <w:rsid w:val="73F7510A"/>
    <w:rsid w:val="768C7FC9"/>
    <w:rsid w:val="77D83A81"/>
    <w:rsid w:val="77DF2CA9"/>
    <w:rsid w:val="77E93077"/>
    <w:rsid w:val="783741CC"/>
    <w:rsid w:val="78770D6F"/>
    <w:rsid w:val="787F47F0"/>
    <w:rsid w:val="79A36B1C"/>
    <w:rsid w:val="7A2E6144"/>
    <w:rsid w:val="7B441344"/>
    <w:rsid w:val="7B473F69"/>
    <w:rsid w:val="7B704A69"/>
    <w:rsid w:val="7B8E22B2"/>
    <w:rsid w:val="7EB4227C"/>
    <w:rsid w:val="7F6F09C8"/>
    <w:rsid w:val="7F926F92"/>
    <w:rsid w:val="7FC26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15" w:lineRule="atLeast"/>
    </w:pPr>
    <w:rPr>
      <w:rFonts w:ascii="仿宋_GB2312" w:hAnsi="宋体" w:eastAsia="仿宋_GB2312" w:cs="仿宋_GB2312"/>
      <w:sz w:val="32"/>
      <w:szCs w:val="32"/>
      <w:lang w:val="en-US" w:eastAsia="zh-CN" w:bidi="ar-SA"/>
    </w:rPr>
  </w:style>
  <w:style w:type="paragraph" w:styleId="3">
    <w:name w:val="heading 3"/>
    <w:basedOn w:val="1"/>
    <w:next w:val="1"/>
    <w:qFormat/>
    <w:uiPriority w:val="9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9"/>
    <w:qFormat/>
    <w:uiPriority w:val="0"/>
    <w:pPr>
      <w:spacing w:line="240" w:lineRule="auto"/>
    </w:pPr>
    <w:rPr>
      <w:sz w:val="18"/>
      <w:szCs w:val="18"/>
    </w:rPr>
  </w:style>
  <w:style w:type="paragraph" w:styleId="4">
    <w:name w:val="Body Text Indent"/>
    <w:basedOn w:val="1"/>
    <w:next w:val="1"/>
    <w:qFormat/>
    <w:uiPriority w:val="0"/>
    <w:pPr>
      <w:spacing w:line="480" w:lineRule="exact"/>
      <w:ind w:firstLine="200" w:firstLineChars="200"/>
    </w:pPr>
  </w:style>
  <w:style w:type="paragraph" w:styleId="5">
    <w:name w:val="footer"/>
    <w:basedOn w:val="1"/>
    <w:link w:val="21"/>
    <w:qFormat/>
    <w:uiPriority w:val="99"/>
    <w:pPr>
      <w:tabs>
        <w:tab w:val="center" w:pos="4153"/>
        <w:tab w:val="right" w:pos="8306"/>
      </w:tabs>
      <w:snapToGrid w:val="0"/>
    </w:pPr>
    <w:rPr>
      <w:sz w:val="18"/>
    </w:rPr>
  </w:style>
  <w:style w:type="paragraph" w:styleId="6">
    <w:name w:val="header"/>
    <w:basedOn w:val="1"/>
    <w:link w:val="20"/>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7">
    <w:name w:val="index 9"/>
    <w:basedOn w:val="1"/>
    <w:next w:val="1"/>
    <w:qFormat/>
    <w:uiPriority w:val="0"/>
    <w:pPr>
      <w:ind w:left="3360"/>
    </w:p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cs="宋体"/>
      <w:sz w:val="24"/>
    </w:rPr>
  </w:style>
  <w:style w:type="paragraph" w:styleId="9">
    <w:name w:val="Body Text First Indent 2"/>
    <w:basedOn w:val="4"/>
    <w:next w:val="7"/>
    <w:unhideWhenUsed/>
    <w:qFormat/>
    <w:uiPriority w:val="99"/>
    <w:pPr>
      <w:widowControl w:val="0"/>
      <w:spacing w:line="360" w:lineRule="auto"/>
      <w:ind w:firstLine="420"/>
      <w:jc w:val="both"/>
    </w:pPr>
    <w:rPr>
      <w:rFonts w:ascii="Times New Roman" w:hAnsi="Times New Roman" w:cs="Times New Roman"/>
      <w:kern w:val="2"/>
      <w:sz w:val="28"/>
      <w:szCs w:val="28"/>
    </w:rPr>
  </w:style>
  <w:style w:type="character" w:styleId="12">
    <w:name w:val="page number"/>
    <w:basedOn w:val="11"/>
    <w:qFormat/>
    <w:uiPriority w:val="0"/>
  </w:style>
  <w:style w:type="paragraph" w:customStyle="1" w:styleId="13">
    <w:name w:val="BodyText1I2"/>
    <w:basedOn w:val="14"/>
    <w:qFormat/>
    <w:uiPriority w:val="0"/>
    <w:pPr>
      <w:ind w:firstLine="420" w:firstLineChars="200"/>
    </w:pPr>
  </w:style>
  <w:style w:type="paragraph" w:customStyle="1" w:styleId="14">
    <w:name w:val="BodyTextIndent"/>
    <w:basedOn w:val="1"/>
    <w:next w:val="15"/>
    <w:qFormat/>
    <w:uiPriority w:val="0"/>
    <w:pPr>
      <w:spacing w:after="120"/>
      <w:ind w:left="420" w:leftChars="200"/>
      <w:jc w:val="both"/>
      <w:textAlignment w:val="baseline"/>
    </w:pPr>
    <w:rPr>
      <w:rFonts w:ascii="Calibri" w:hAnsi="Calibri" w:eastAsia="宋体" w:cs="Times New Roman"/>
    </w:rPr>
  </w:style>
  <w:style w:type="paragraph" w:customStyle="1" w:styleId="15">
    <w:name w:val="NormalIndent"/>
    <w:basedOn w:val="1"/>
    <w:qFormat/>
    <w:uiPriority w:val="0"/>
    <w:pPr>
      <w:ind w:firstLine="420" w:firstLineChars="200"/>
      <w:jc w:val="both"/>
      <w:textAlignment w:val="baseline"/>
    </w:pPr>
    <w:rPr>
      <w:rFonts w:ascii="Calibri" w:hAnsi="Calibri" w:eastAsia="仿宋" w:cs="Times New Roman"/>
      <w:kern w:val="2"/>
      <w:szCs w:val="24"/>
    </w:rPr>
  </w:style>
  <w:style w:type="paragraph" w:customStyle="1" w:styleId="16">
    <w:name w:val="Table caption|1"/>
    <w:basedOn w:val="1"/>
    <w:qFormat/>
    <w:uiPriority w:val="0"/>
    <w:pPr>
      <w:widowControl w:val="0"/>
    </w:pPr>
    <w:rPr>
      <w:rFonts w:ascii="宋体" w:eastAsia="宋体" w:cs="宋体"/>
      <w:sz w:val="19"/>
      <w:szCs w:val="19"/>
      <w:lang w:val="zh-TW" w:eastAsia="zh-TW" w:bidi="zh-TW"/>
    </w:rPr>
  </w:style>
  <w:style w:type="character" w:customStyle="1" w:styleId="17">
    <w:name w:val="10"/>
    <w:basedOn w:val="11"/>
    <w:qFormat/>
    <w:uiPriority w:val="0"/>
    <w:rPr>
      <w:rFonts w:hint="default" w:ascii="Times New Roman" w:hAnsi="Times New Roman" w:cs="Times New Roman"/>
    </w:rPr>
  </w:style>
  <w:style w:type="character" w:customStyle="1" w:styleId="18">
    <w:name w:val="15"/>
    <w:basedOn w:val="11"/>
    <w:qFormat/>
    <w:uiPriority w:val="0"/>
    <w:rPr>
      <w:rFonts w:hint="default" w:ascii="Times New Roman" w:hAnsi="Times New Roman" w:cs="Times New Roman"/>
    </w:rPr>
  </w:style>
  <w:style w:type="character" w:customStyle="1" w:styleId="19">
    <w:name w:val="批注框文本 Char"/>
    <w:basedOn w:val="11"/>
    <w:link w:val="2"/>
    <w:qFormat/>
    <w:uiPriority w:val="0"/>
    <w:rPr>
      <w:rFonts w:ascii="仿宋_GB2312" w:hAnsi="宋体" w:eastAsia="仿宋_GB2312" w:cs="仿宋_GB2312"/>
      <w:sz w:val="18"/>
      <w:szCs w:val="18"/>
    </w:rPr>
  </w:style>
  <w:style w:type="character" w:customStyle="1" w:styleId="20">
    <w:name w:val="页眉 Char"/>
    <w:basedOn w:val="11"/>
    <w:link w:val="6"/>
    <w:qFormat/>
    <w:uiPriority w:val="0"/>
    <w:rPr>
      <w:rFonts w:ascii="仿宋_GB2312" w:hAnsi="宋体" w:eastAsia="仿宋_GB2312" w:cs="仿宋_GB2312"/>
      <w:sz w:val="18"/>
      <w:szCs w:val="18"/>
    </w:rPr>
  </w:style>
  <w:style w:type="character" w:customStyle="1" w:styleId="21">
    <w:name w:val="页脚 Char"/>
    <w:basedOn w:val="11"/>
    <w:link w:val="5"/>
    <w:qFormat/>
    <w:uiPriority w:val="99"/>
    <w:rPr>
      <w:rFonts w:ascii="仿宋_GB2312" w:hAnsi="宋体" w:eastAsia="仿宋_GB2312" w:cs="仿宋_GB2312"/>
      <w:sz w:val="18"/>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1339</Words>
  <Characters>1437</Characters>
  <Lines>24</Lines>
  <Paragraphs>6</Paragraphs>
  <TotalTime>1</TotalTime>
  <ScaleCrop>false</ScaleCrop>
  <LinksUpToDate>false</LinksUpToDate>
  <CharactersWithSpaces>1479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2021-10-18T03:25:00Z</dcterms:created>
  <dc:creator>潘婷（多德律所）</dc:creator>
  <cp:lastModifiedBy>嬴向阳</cp:lastModifiedBy>
  <cp:lastPrinted>2023-06-13T07:37:00Z</cp:lastPrinted>
  <dcterms:modified xsi:type="dcterms:W3CDTF">2023-12-13T10:45:13Z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B39AE1FFD6FE49F39FF60D333A651262</vt:lpwstr>
  </property>
</Properties>
</file>