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7560"/>
        </w:tabs>
        <w:kinsoku/>
        <w:wordWrap/>
        <w:overflowPunct/>
        <w:topLinePunct w:val="0"/>
        <w:autoSpaceDE/>
        <w:autoSpaceDN/>
        <w:bidi w:val="0"/>
        <w:adjustRightInd/>
        <w:snapToGrid/>
        <w:spacing w:line="1480" w:lineRule="exact"/>
        <w:jc w:val="center"/>
        <w:textAlignment w:val="auto"/>
        <w:outlineLvl w:val="9"/>
        <w:rPr>
          <w:rFonts w:hint="default" w:ascii="Times New Roman" w:hAnsi="Times New Roman" w:eastAsia="方正小标宋简体" w:cs="Times New Roman"/>
          <w:b w:val="0"/>
          <w:bCs/>
          <w:color w:val="FF0000"/>
          <w:spacing w:val="128"/>
          <w:w w:val="50"/>
          <w:sz w:val="160"/>
          <w:szCs w:val="160"/>
        </w:rPr>
      </w:pPr>
    </w:p>
    <w:p>
      <w:pPr>
        <w:keepNext w:val="0"/>
        <w:keepLines w:val="0"/>
        <w:pageBreakBefore w:val="0"/>
        <w:widowControl/>
        <w:kinsoku/>
        <w:wordWrap/>
        <w:overflowPunct/>
        <w:topLinePunct w:val="0"/>
        <w:autoSpaceDE/>
        <w:autoSpaceDN/>
        <w:bidi w:val="0"/>
        <w:adjustRightInd w:val="0"/>
        <w:snapToGrid w:val="0"/>
        <w:spacing w:before="57" w:beforeLines="10" w:line="240" w:lineRule="auto"/>
        <w:ind w:left="0" w:leftChars="0" w:firstLine="0" w:firstLineChars="0"/>
        <w:jc w:val="both"/>
        <w:textAlignment w:val="auto"/>
        <w:rPr>
          <w:rFonts w:hint="default" w:ascii="Times New Roman" w:hAnsi="Times New Roman" w:eastAsia="方正小标宋简体" w:cs="Times New Roman"/>
          <w:b w:val="0"/>
          <w:bCs/>
          <w:color w:val="FFFFFF"/>
          <w:spacing w:val="57"/>
          <w:w w:val="50"/>
          <w:sz w:val="160"/>
          <w:szCs w:val="160"/>
        </w:rPr>
      </w:pPr>
      <w:r>
        <w:rPr>
          <w:rFonts w:hint="default" w:ascii="Times New Roman" w:hAnsi="Times New Roman" w:eastAsia="方正小标宋简体" w:cs="Times New Roman"/>
          <w:b w:val="0"/>
          <w:bCs/>
          <w:color w:val="FFFFFF"/>
          <w:spacing w:val="28"/>
          <w:w w:val="42"/>
          <w:sz w:val="160"/>
          <w:szCs w:val="160"/>
        </w:rPr>
        <w:t>泗洪县人民政府办公室文</w:t>
      </w:r>
      <w:r>
        <w:rPr>
          <w:rFonts w:hint="default" w:ascii="Times New Roman" w:hAnsi="Times New Roman" w:eastAsia="方正小标宋简体" w:cs="Times New Roman"/>
          <w:b w:val="0"/>
          <w:bCs/>
          <w:color w:val="FFFFFF"/>
          <w:w w:val="42"/>
          <w:sz w:val="160"/>
          <w:szCs w:val="160"/>
        </w:rPr>
        <w:t>件</w:t>
      </w:r>
    </w:p>
    <w:p>
      <w:pPr>
        <w:keepNext w:val="0"/>
        <w:keepLines w:val="0"/>
        <w:pageBreakBefore w:val="0"/>
        <w:widowControl/>
        <w:kinsoku/>
        <w:wordWrap/>
        <w:overflowPunct/>
        <w:topLinePunct w:val="0"/>
        <w:autoSpaceDE/>
        <w:autoSpaceDN/>
        <w:bidi w:val="0"/>
        <w:adjustRightInd w:val="0"/>
        <w:snapToGrid w:val="0"/>
        <w:spacing w:line="460" w:lineRule="exact"/>
        <w:ind w:left="210" w:leftChars="100" w:right="210" w:rightChars="100" w:firstLine="2560" w:firstLineChars="800"/>
        <w:jc w:val="both"/>
        <w:textAlignment w:val="auto"/>
        <w:rPr>
          <w:rFonts w:hint="default" w:ascii="Times New Roman" w:hAnsi="Times New Roman" w:eastAsia="方正仿宋_GBK" w:cs="Times New Roman"/>
          <w:b w:val="0"/>
          <w:bCs/>
          <w:sz w:val="32"/>
          <w:szCs w:val="32"/>
        </w:rPr>
      </w:pPr>
    </w:p>
    <w:p>
      <w:pPr>
        <w:spacing w:line="580" w:lineRule="exact"/>
        <w:ind w:left="210" w:leftChars="100" w:right="210" w:rightChars="100" w:firstLine="2560" w:firstLineChars="800"/>
        <w:jc w:val="both"/>
        <w:rPr>
          <w:rFonts w:hint="eastAsia"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rPr>
        <w:t>洪政</w:t>
      </w:r>
      <w:r>
        <w:rPr>
          <w:rFonts w:hint="default" w:ascii="Times New Roman" w:hAnsi="Times New Roman" w:eastAsia="方正仿宋_GBK" w:cs="Times New Roman"/>
          <w:b w:val="0"/>
          <w:bCs/>
          <w:sz w:val="32"/>
          <w:szCs w:val="32"/>
          <w:lang w:eastAsia="zh-CN"/>
        </w:rPr>
        <w:t>办</w:t>
      </w:r>
      <w:r>
        <w:rPr>
          <w:rFonts w:hint="default" w:ascii="Times New Roman" w:hAnsi="Times New Roman" w:eastAsia="方正仿宋_GBK" w:cs="Times New Roman"/>
          <w:b w:val="0"/>
          <w:bCs/>
          <w:sz w:val="32"/>
          <w:szCs w:val="32"/>
        </w:rPr>
        <w:t>发〔20</w:t>
      </w:r>
      <w:r>
        <w:rPr>
          <w:rFonts w:hint="default" w:ascii="Times New Roman" w:hAnsi="Times New Roman" w:eastAsia="方正仿宋_GBK" w:cs="Times New Roman"/>
          <w:b w:val="0"/>
          <w:bCs/>
          <w:sz w:val="32"/>
          <w:szCs w:val="32"/>
          <w:lang w:val="en-US" w:eastAsia="zh-CN"/>
        </w:rPr>
        <w:t>2</w:t>
      </w:r>
      <w:r>
        <w:rPr>
          <w:rFonts w:hint="eastAsia" w:ascii="Times New Roman" w:hAnsi="Times New Roman" w:cs="Times New Roman"/>
          <w:b w:val="0"/>
          <w:bCs/>
          <w:sz w:val="32"/>
          <w:szCs w:val="32"/>
          <w:lang w:val="en-US" w:eastAsia="zh-CN"/>
        </w:rPr>
        <w:t>4</w:t>
      </w:r>
      <w:r>
        <w:rPr>
          <w:rFonts w:hint="default" w:ascii="Times New Roman" w:hAnsi="Times New Roman" w:eastAsia="方正仿宋_GBK" w:cs="Times New Roman"/>
          <w:b w:val="0"/>
          <w:bCs/>
          <w:sz w:val="32"/>
          <w:szCs w:val="32"/>
        </w:rPr>
        <w:t>〕</w:t>
      </w:r>
      <w:r>
        <w:rPr>
          <w:rFonts w:hint="eastAsia" w:ascii="Times New Roman" w:hAnsi="Times New Roman" w:eastAsia="方正仿宋_GBK" w:cs="Times New Roman"/>
          <w:b w:val="0"/>
          <w:bCs/>
          <w:sz w:val="32"/>
          <w:szCs w:val="32"/>
          <w:lang w:val="en-US" w:eastAsia="zh-CN"/>
        </w:rPr>
        <w:t>18</w:t>
      </w:r>
      <w:r>
        <w:rPr>
          <w:rFonts w:hint="default" w:ascii="Times New Roman" w:hAnsi="Times New Roman" w:eastAsia="方正仿宋_GBK" w:cs="Times New Roman"/>
          <w:b w:val="0"/>
          <w:bCs/>
          <w:sz w:val="32"/>
          <w:szCs w:val="32"/>
        </w:rPr>
        <w:t>号</w:t>
      </w:r>
    </w:p>
    <w:p>
      <w:pPr>
        <w:spacing w:line="227" w:lineRule="exact"/>
        <w:rPr>
          <w:rFonts w:hint="default" w:ascii="Times New Roman" w:hAnsi="Times New Roman" w:cs="Times New Roman"/>
          <w:b w:val="0"/>
          <w:bCs/>
        </w:rPr>
      </w:pPr>
    </w:p>
    <w:p>
      <w:pPr>
        <w:keepNext w:val="0"/>
        <w:keepLines w:val="0"/>
        <w:pageBreakBefore w:val="0"/>
        <w:widowControl w:val="0"/>
        <w:kinsoku/>
        <w:wordWrap/>
        <w:overflowPunct/>
        <w:topLinePunct w:val="0"/>
        <w:autoSpaceDE/>
        <w:autoSpaceDN/>
        <w:bidi w:val="0"/>
        <w:adjustRightInd/>
        <w:snapToGrid/>
        <w:spacing w:line="380" w:lineRule="exact"/>
        <w:ind w:left="0" w:leftChars="0" w:right="-155" w:rightChars="-74" w:firstLine="0" w:firstLineChars="0"/>
        <w:jc w:val="center"/>
        <w:textAlignment w:val="auto"/>
        <w:outlineLvl w:val="9"/>
        <w:rPr>
          <w:rFonts w:hint="default" w:ascii="Times New Roman" w:hAnsi="Times New Roman" w:eastAsia="方正小标宋_GBK" w:cs="Times New Roman"/>
          <w:b w:val="0"/>
          <w:bCs/>
          <w:sz w:val="44"/>
          <w:szCs w:val="44"/>
        </w:rPr>
      </w:pPr>
      <w:r>
        <w:rPr>
          <w:rFonts w:hint="default" w:ascii="Times New Roman" w:hAnsi="Times New Roman" w:cs="Times New Roman"/>
          <w:b w:val="0"/>
          <w:bCs/>
        </w:rPr>
        <mc:AlternateContent>
          <mc:Choice Requires="wps">
            <w:drawing>
              <wp:anchor distT="0" distB="0" distL="114300" distR="114300" simplePos="0" relativeHeight="251660288" behindDoc="0" locked="0" layoutInCell="1" allowOverlap="1">
                <wp:simplePos x="0" y="0"/>
                <wp:positionH relativeFrom="column">
                  <wp:posOffset>48895</wp:posOffset>
                </wp:positionH>
                <wp:positionV relativeFrom="paragraph">
                  <wp:posOffset>8890</wp:posOffset>
                </wp:positionV>
                <wp:extent cx="5582285" cy="5715"/>
                <wp:effectExtent l="0" t="20320" r="18415" b="31115"/>
                <wp:wrapNone/>
                <wp:docPr id="1" name="直接连接符 1"/>
                <wp:cNvGraphicFramePr/>
                <a:graphic xmlns:a="http://schemas.openxmlformats.org/drawingml/2006/main">
                  <a:graphicData uri="http://schemas.microsoft.com/office/word/2010/wordprocessingShape">
                    <wps:wsp>
                      <wps:cNvCnPr/>
                      <wps:spPr>
                        <a:xfrm flipV="1">
                          <a:off x="0" y="0"/>
                          <a:ext cx="5582285" cy="5715"/>
                        </a:xfrm>
                        <a:prstGeom prst="line">
                          <a:avLst/>
                        </a:prstGeom>
                        <a:ln w="41275" cap="flat" cmpd="sng">
                          <a:solidFill>
                            <a:srgbClr val="FFFFFF"/>
                          </a:solidFill>
                          <a:prstDash val="solid"/>
                          <a:round/>
                          <a:headEnd type="none" w="med" len="med"/>
                          <a:tailEnd type="none" w="med" len="med"/>
                        </a:ln>
                      </wps:spPr>
                      <wps:bodyPr upright="1"/>
                    </wps:wsp>
                  </a:graphicData>
                </a:graphic>
              </wp:anchor>
            </w:drawing>
          </mc:Choice>
          <mc:Fallback>
            <w:pict>
              <v:line id="_x0000_s1026" o:spid="_x0000_s1026" o:spt="20" style="position:absolute;left:0pt;flip:y;margin-left:3.85pt;margin-top:0.7pt;height:0.45pt;width:439.55pt;z-index:251660288;mso-width-relative:page;mso-height-relative:page;" filled="f" stroked="t" coordsize="21600,21600" o:gfxdata="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GVswx1gAAAAUBAAAPAAAAAAAAAAEAIAAAACIAAABkcnMvZG93&#10;bnJldi54bWxQSwECFAAUAAAACACHTuJAMAIIXwICAAD8AwAADgAAAAAAAAABACAAAAAlAQAAZHJz&#10;L2Uyb0RvYy54bWxQSwUGAAAAAAYABgBZAQAAmQUAAAAA&#10;">
                <v:fill on="f" focussize="0,0"/>
                <v:stroke weight="3.25pt" color="#FFFFFF"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80" w:lineRule="exact"/>
        <w:ind w:left="-420" w:leftChars="-200" w:right="-395" w:rightChars="-188" w:firstLine="0" w:firstLineChars="0"/>
        <w:jc w:val="center"/>
        <w:textAlignment w:val="auto"/>
        <w:outlineLvl w:val="9"/>
        <w:rPr>
          <w:rFonts w:hint="default" w:ascii="Times New Roman" w:hAnsi="Times New Roman" w:eastAsia="方正小标宋_GBK" w:cs="Times New Roman"/>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ascii="Times New Roman" w:hAnsi="Times New Roman" w:eastAsia="方正小标宋_GBK" w:cs="Times New Roman"/>
          <w:sz w:val="44"/>
          <w:szCs w:val="44"/>
          <w:highlight w:val="none"/>
        </w:rPr>
      </w:pPr>
      <w:r>
        <w:rPr>
          <w:rFonts w:hint="eastAsia" w:ascii="Times New Roman" w:hAnsi="Times New Roman" w:eastAsia="方正小标宋_GBK" w:cs="Times New Roman"/>
          <w:w w:val="95"/>
          <w:sz w:val="44"/>
          <w:szCs w:val="44"/>
          <w:highlight w:val="none"/>
        </w:rPr>
        <w:t>县</w:t>
      </w:r>
      <w:r>
        <w:rPr>
          <w:rFonts w:ascii="Times New Roman" w:hAnsi="Times New Roman" w:eastAsia="方正小标宋_GBK" w:cs="Times New Roman"/>
          <w:w w:val="95"/>
          <w:sz w:val="44"/>
          <w:szCs w:val="44"/>
          <w:highlight w:val="none"/>
        </w:rPr>
        <w:t>政府办公室关于</w:t>
      </w:r>
      <w:r>
        <w:rPr>
          <w:rFonts w:hint="eastAsia" w:ascii="Times New Roman" w:hAnsi="Times New Roman" w:eastAsia="方正小标宋_GBK" w:cs="Times New Roman"/>
          <w:w w:val="95"/>
          <w:sz w:val="44"/>
          <w:szCs w:val="44"/>
          <w:highlight w:val="none"/>
          <w:lang w:eastAsia="zh-CN"/>
        </w:rPr>
        <w:t>印发</w:t>
      </w:r>
      <w:r>
        <w:rPr>
          <w:rFonts w:ascii="Times New Roman" w:hAnsi="Times New Roman" w:eastAsia="方正小标宋_GBK" w:cs="Times New Roman"/>
          <w:sz w:val="44"/>
          <w:szCs w:val="44"/>
          <w:highlight w:val="none"/>
        </w:rPr>
        <w:t>泗洪县</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highlight w:val="none"/>
        </w:rPr>
      </w:pPr>
      <w:r>
        <w:rPr>
          <w:rFonts w:ascii="Times New Roman" w:hAnsi="Times New Roman" w:eastAsia="方正小标宋_GBK" w:cs="Times New Roman"/>
          <w:sz w:val="44"/>
          <w:szCs w:val="44"/>
          <w:highlight w:val="none"/>
        </w:rPr>
        <w:t>现代服务业发展攻坚突破年实施方案的通知</w:t>
      </w:r>
    </w:p>
    <w:p>
      <w:pPr>
        <w:pStyle w:val="13"/>
        <w:keepNext w:val="0"/>
        <w:keepLines w:val="0"/>
        <w:pageBreakBefore w:val="0"/>
        <w:widowControl w:val="0"/>
        <w:kinsoku/>
        <w:wordWrap/>
        <w:overflowPunct/>
        <w:topLinePunct w:val="0"/>
        <w:autoSpaceDE/>
        <w:autoSpaceDN/>
        <w:bidi w:val="0"/>
        <w:adjustRightInd/>
        <w:snapToGrid/>
        <w:spacing w:before="0" w:after="0" w:line="520" w:lineRule="exact"/>
        <w:textAlignment w:val="auto"/>
        <w:rPr>
          <w:highlight w:val="none"/>
        </w:rPr>
      </w:pP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2312" w:cs="Times New Roman"/>
          <w:sz w:val="32"/>
          <w:szCs w:val="32"/>
          <w:highlight w:val="none"/>
          <w:lang w:eastAsia="zh-CN"/>
        </w:rPr>
      </w:pPr>
      <w:r>
        <w:rPr>
          <w:rFonts w:hint="default" w:ascii="Times New Roman" w:hAnsi="Times New Roman" w:eastAsia="方正仿宋_GB2312" w:cs="Times New Roman"/>
          <w:sz w:val="32"/>
          <w:szCs w:val="32"/>
          <w:highlight w:val="none"/>
          <w:lang w:eastAsia="zh-CN"/>
        </w:rPr>
        <w:t>各乡镇人民政府</w:t>
      </w:r>
      <w:r>
        <w:rPr>
          <w:rFonts w:hint="eastAsia" w:ascii="Times New Roman" w:hAnsi="Times New Roman" w:eastAsia="方正仿宋_GB2312" w:cs="Times New Roman"/>
          <w:sz w:val="32"/>
          <w:szCs w:val="32"/>
          <w:highlight w:val="none"/>
          <w:lang w:eastAsia="zh-CN"/>
        </w:rPr>
        <w:t>、</w:t>
      </w:r>
      <w:r>
        <w:rPr>
          <w:rFonts w:hint="default" w:ascii="Times New Roman" w:hAnsi="Times New Roman" w:eastAsia="方正仿宋_GB2312" w:cs="Times New Roman"/>
          <w:sz w:val="32"/>
          <w:szCs w:val="32"/>
          <w:highlight w:val="none"/>
          <w:lang w:eastAsia="zh-CN"/>
        </w:rPr>
        <w:t>各街道</w:t>
      </w:r>
      <w:r>
        <w:rPr>
          <w:rFonts w:hint="eastAsia" w:ascii="Times New Roman" w:hAnsi="Times New Roman" w:eastAsia="方正仿宋_GB2312" w:cs="Times New Roman"/>
          <w:sz w:val="32"/>
          <w:szCs w:val="32"/>
          <w:highlight w:val="none"/>
          <w:lang w:eastAsia="zh-CN"/>
        </w:rPr>
        <w:t>办事</w:t>
      </w:r>
      <w:r>
        <w:rPr>
          <w:rFonts w:hint="default" w:ascii="Times New Roman" w:hAnsi="Times New Roman" w:eastAsia="方正仿宋_GB2312" w:cs="Times New Roman"/>
          <w:sz w:val="32"/>
          <w:szCs w:val="32"/>
          <w:highlight w:val="none"/>
          <w:lang w:eastAsia="zh-CN"/>
        </w:rPr>
        <w:t>处，县各开发区、园区管委会，县</w:t>
      </w:r>
      <w:r>
        <w:rPr>
          <w:rFonts w:hint="eastAsia" w:ascii="Times New Roman" w:hAnsi="Times New Roman" w:eastAsia="方正仿宋_GB2312" w:cs="Times New Roman"/>
          <w:sz w:val="32"/>
          <w:szCs w:val="32"/>
          <w:highlight w:val="none"/>
          <w:lang w:eastAsia="zh-CN"/>
        </w:rPr>
        <w:t>各有关部门和单位</w:t>
      </w:r>
      <w:r>
        <w:rPr>
          <w:rFonts w:hint="default" w:ascii="Times New Roman" w:hAnsi="Times New Roman" w:eastAsia="方正仿宋_GB2312" w:cs="Times New Roman"/>
          <w:sz w:val="32"/>
          <w:szCs w:val="32"/>
          <w:highlight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40"/>
        <w:jc w:val="left"/>
        <w:textAlignment w:val="auto"/>
        <w:rPr>
          <w:rFonts w:hint="default" w:ascii="Times New Roman" w:hAnsi="Times New Roman" w:eastAsia="方正仿宋_GBK" w:cs="Times New Roman"/>
          <w:kern w:val="2"/>
          <w:sz w:val="32"/>
          <w:szCs w:val="32"/>
          <w:highlight w:val="none"/>
          <w:lang w:val="en-US" w:eastAsia="zh-CN" w:bidi="ar"/>
        </w:rPr>
      </w:pPr>
      <w:r>
        <w:rPr>
          <w:rFonts w:hint="default" w:ascii="Times New Roman" w:hAnsi="Times New Roman" w:eastAsia="方正仿宋_GB2312" w:cs="Times New Roman"/>
          <w:sz w:val="32"/>
          <w:szCs w:val="32"/>
          <w:highlight w:val="none"/>
          <w:lang w:val="en-US" w:eastAsia="zh-CN"/>
        </w:rPr>
        <w:t>《泗洪县</w:t>
      </w:r>
      <w:r>
        <w:rPr>
          <w:rFonts w:hint="default" w:ascii="Times New Roman" w:hAnsi="Times New Roman" w:eastAsia="方正仿宋_GBK" w:cs="Times New Roman"/>
          <w:sz w:val="32"/>
          <w:szCs w:val="32"/>
          <w:highlight w:val="none"/>
        </w:rPr>
        <w:t>现代服务业发展攻坚突破年实施方案</w:t>
      </w:r>
      <w:r>
        <w:rPr>
          <w:rFonts w:hint="default" w:ascii="Times New Roman" w:hAnsi="Times New Roman" w:eastAsia="方正仿宋_GB2312" w:cs="Times New Roman"/>
          <w:sz w:val="32"/>
          <w:szCs w:val="32"/>
          <w:highlight w:val="none"/>
          <w:lang w:val="en-US" w:eastAsia="zh-CN"/>
        </w:rPr>
        <w:t>》已经县政府十八届</w:t>
      </w:r>
      <w:r>
        <w:rPr>
          <w:rFonts w:hint="default" w:ascii="Times New Roman" w:hAnsi="Times New Roman" w:eastAsia="方正仿宋_GBK" w:cs="Times New Roman"/>
          <w:kern w:val="2"/>
          <w:sz w:val="32"/>
          <w:szCs w:val="32"/>
          <w:highlight w:val="none"/>
          <w:lang w:val="en-US" w:eastAsia="zh-CN" w:bidi="ar"/>
        </w:rPr>
        <w:t>二十六次常务会议审议通过，现印发给你们，请认真贯彻落实。</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lang w:eastAsia="zh-CN"/>
        </w:rPr>
      </w:pPr>
    </w:p>
    <w:p>
      <w:pPr>
        <w:bidi w:val="0"/>
        <w:rPr>
          <w:rFonts w:hint="default"/>
          <w:lang w:eastAsia="zh-CN"/>
        </w:rPr>
      </w:pPr>
    </w:p>
    <w:p>
      <w:pPr>
        <w:keepNext w:val="0"/>
        <w:keepLines w:val="0"/>
        <w:pageBreakBefore w:val="0"/>
        <w:kinsoku/>
        <w:wordWrap w:val="0"/>
        <w:overflowPunct/>
        <w:topLinePunct w:val="0"/>
        <w:autoSpaceDE/>
        <w:autoSpaceDN/>
        <w:bidi w:val="0"/>
        <w:adjustRightInd/>
        <w:snapToGrid/>
        <w:spacing w:line="520" w:lineRule="exact"/>
        <w:ind w:firstLine="640" w:firstLineChars="200"/>
        <w:jc w:val="center"/>
        <w:textAlignment w:val="auto"/>
        <w:rPr>
          <w:rFonts w:hint="default" w:ascii="Times New Roman" w:hAnsi="Times New Roman" w:eastAsia="方正仿宋_GBK" w:cs="Times New Roman"/>
          <w:sz w:val="32"/>
          <w:szCs w:val="32"/>
          <w:highlight w:val="none"/>
        </w:rPr>
      </w:pPr>
      <w:r>
        <w:rPr>
          <w:rFonts w:hint="eastAsia" w:ascii="Times New Roman" w:hAnsi="Times New Roman" w:eastAsia="方正仿宋_GBK" w:cs="Times New Roman"/>
          <w:sz w:val="32"/>
          <w:szCs w:val="32"/>
          <w:highlight w:val="none"/>
          <w:lang w:val="en-US" w:eastAsia="zh-CN"/>
        </w:rPr>
        <w:t xml:space="preserve">                        </w:t>
      </w:r>
      <w:r>
        <w:rPr>
          <w:rFonts w:hint="default" w:ascii="Times New Roman" w:hAnsi="Times New Roman" w:eastAsia="方正仿宋_GBK" w:cs="Times New Roman"/>
          <w:sz w:val="32"/>
          <w:szCs w:val="32"/>
          <w:highlight w:val="none"/>
        </w:rPr>
        <w:t xml:space="preserve">泗洪县人民政府办公室    </w:t>
      </w:r>
    </w:p>
    <w:p>
      <w:pPr>
        <w:pStyle w:val="7"/>
        <w:keepNext w:val="0"/>
        <w:keepLines w:val="0"/>
        <w:pageBreakBefore w:val="0"/>
        <w:tabs>
          <w:tab w:val="left" w:pos="7560"/>
        </w:tabs>
        <w:kinsoku/>
        <w:overflowPunct/>
        <w:topLinePunct w:val="0"/>
        <w:autoSpaceDE/>
        <w:autoSpaceDN/>
        <w:bidi w:val="0"/>
        <w:adjustRightInd/>
        <w:snapToGrid/>
        <w:spacing w:after="0" w:line="520" w:lineRule="exact"/>
        <w:ind w:left="0" w:leftChars="0" w:firstLine="0" w:firstLineChars="0"/>
        <w:jc w:val="center"/>
        <w:textAlignment w:val="auto"/>
        <w:rPr>
          <w:rFonts w:hint="default" w:ascii="Times New Roman" w:hAnsi="Times New Roman" w:cs="Times New Roman"/>
          <w:highlight w:val="none"/>
          <w:lang w:eastAsia="zh-CN"/>
        </w:rPr>
      </w:pPr>
      <w:r>
        <w:rPr>
          <w:rFonts w:hint="default" w:ascii="Times New Roman" w:hAnsi="Times New Roman" w:eastAsia="方正仿宋_GBK" w:cs="Times New Roman"/>
          <w:sz w:val="32"/>
          <w:szCs w:val="32"/>
          <w:highlight w:val="none"/>
          <w:lang w:val="en-US" w:eastAsia="zh-CN"/>
        </w:rPr>
        <w:t xml:space="preserve">                       </w:t>
      </w:r>
      <w:r>
        <w:rPr>
          <w:rFonts w:hint="eastAsia" w:ascii="Times New Roman" w:hAnsi="Times New Roman" w:eastAsia="方正仿宋_GBK" w:cs="Times New Roman"/>
          <w:sz w:val="32"/>
          <w:szCs w:val="32"/>
          <w:highlight w:val="none"/>
          <w:lang w:val="en-US" w:eastAsia="zh-CN"/>
        </w:rPr>
        <w:t xml:space="preserve">  </w:t>
      </w:r>
      <w:r>
        <w:rPr>
          <w:rFonts w:hint="default" w:ascii="Times New Roman" w:hAnsi="Times New Roman" w:eastAsia="方正仿宋_GBK" w:cs="Times New Roman"/>
          <w:sz w:val="32"/>
          <w:szCs w:val="32"/>
          <w:highlight w:val="none"/>
        </w:rPr>
        <w:t>2024年</w:t>
      </w:r>
      <w:r>
        <w:rPr>
          <w:rFonts w:hint="eastAsia"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rPr>
        <w:t>月</w:t>
      </w:r>
      <w:r>
        <w:rPr>
          <w:rFonts w:hint="eastAsia" w:ascii="Times New Roman" w:hAnsi="Times New Roman" w:eastAsia="方正仿宋_GBK" w:cs="Times New Roman"/>
          <w:sz w:val="32"/>
          <w:szCs w:val="32"/>
          <w:highlight w:val="none"/>
          <w:lang w:val="en-US" w:eastAsia="zh-CN"/>
        </w:rPr>
        <w:t>10</w:t>
      </w:r>
      <w:r>
        <w:rPr>
          <w:rFonts w:hint="default" w:ascii="Times New Roman" w:hAnsi="Times New Roman" w:eastAsia="方正仿宋_GBK" w:cs="Times New Roman"/>
          <w:sz w:val="32"/>
          <w:szCs w:val="32"/>
          <w:highlight w:val="none"/>
        </w:rPr>
        <w:t>日</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方正仿宋_GB2312" w:cs="Times New Roman"/>
          <w:sz w:val="32"/>
          <w:szCs w:val="32"/>
          <w:highlight w:val="none"/>
          <w:lang w:val="en-US" w:eastAsia="zh-CN"/>
        </w:rPr>
      </w:pPr>
      <w:r>
        <w:rPr>
          <w:rFonts w:hint="eastAsia" w:ascii="Times New Roman" w:hAnsi="Times New Roman" w:eastAsia="方正仿宋_GBK" w:cs="Times New Roman"/>
          <w:kern w:val="2"/>
          <w:sz w:val="32"/>
          <w:szCs w:val="32"/>
          <w:highlight w:val="none"/>
          <w:lang w:val="en-US" w:eastAsia="zh-CN" w:bidi="ar"/>
        </w:rPr>
        <w:t>（</w:t>
      </w:r>
      <w:r>
        <w:rPr>
          <w:rFonts w:hint="default" w:ascii="Times New Roman" w:hAnsi="Times New Roman" w:eastAsia="方正仿宋_GBK" w:cs="Times New Roman"/>
          <w:kern w:val="2"/>
          <w:sz w:val="32"/>
          <w:szCs w:val="32"/>
          <w:highlight w:val="none"/>
          <w:lang w:val="en-US" w:eastAsia="zh-CN" w:bidi="ar"/>
        </w:rPr>
        <w:t>此件公开发布</w:t>
      </w:r>
      <w:r>
        <w:rPr>
          <w:rFonts w:hint="eastAsia" w:ascii="Times New Roman" w:hAnsi="Times New Roman" w:eastAsia="方正仿宋_GBK" w:cs="Times New Roman"/>
          <w:kern w:val="2"/>
          <w:sz w:val="32"/>
          <w:szCs w:val="32"/>
          <w:highlight w:val="none"/>
          <w:lang w:val="en-US" w:eastAsia="zh-CN" w:bidi="ar"/>
        </w:rPr>
        <w:t>）</w:t>
      </w:r>
    </w:p>
    <w:p>
      <w:pPr>
        <w:pStyle w:val="13"/>
        <w:rPr>
          <w:rFonts w:hint="default" w:ascii="Times New Roman" w:hAnsi="Times New Roman" w:cs="Times New Roman"/>
          <w:highlight w:val="none"/>
          <w:lang w:eastAsia="zh-CN"/>
        </w:rPr>
        <w:sectPr>
          <w:footerReference r:id="rId3" w:type="default"/>
          <w:pgSz w:w="11906" w:h="16838"/>
          <w:pgMar w:top="2041" w:right="1531" w:bottom="1757" w:left="1531" w:header="850" w:footer="1474" w:gutter="0"/>
          <w:paperSrc/>
          <w:pgNumType w:fmt="decimal"/>
          <w:cols w:space="0" w:num="1"/>
          <w:rtlGutter w:val="0"/>
          <w:docGrid w:type="lines" w:linePitch="349" w:charSpace="0"/>
        </w:sect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Times New Roman" w:hAnsi="Times New Roman" w:eastAsia="方正楷体_GBK" w:cs="Times New Roman"/>
          <w:sz w:val="32"/>
          <w:szCs w:val="32"/>
          <w:highlight w:val="none"/>
        </w:rPr>
      </w:pPr>
      <w:r>
        <w:rPr>
          <w:rFonts w:ascii="Times New Roman" w:hAnsi="Times New Roman" w:eastAsia="方正小标宋_GBK" w:cs="Times New Roman"/>
          <w:sz w:val="44"/>
          <w:szCs w:val="44"/>
          <w:highlight w:val="none"/>
        </w:rPr>
        <w:t>泗洪县现代服务业发展攻坚突破年实施方案</w:t>
      </w:r>
    </w:p>
    <w:p>
      <w:pPr>
        <w:spacing w:line="560" w:lineRule="exact"/>
        <w:ind w:firstLine="640" w:firstLineChars="200"/>
        <w:rPr>
          <w:rFonts w:ascii="Times New Roman" w:hAnsi="Times New Roman" w:eastAsia="方正仿宋_GBK" w:cs="Times New Roman"/>
          <w:sz w:val="32"/>
          <w:szCs w:val="32"/>
          <w:highlight w:val="none"/>
        </w:rPr>
      </w:pP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仿宋_GBK" w:cs="Times New Roman"/>
          <w:sz w:val="32"/>
          <w:szCs w:val="32"/>
          <w:highlight w:val="none"/>
        </w:rPr>
      </w:pPr>
      <w:r>
        <w:rPr>
          <w:rFonts w:hint="eastAsia" w:ascii="Times New Roman" w:hAnsi="Times New Roman" w:eastAsia="方正仿宋_GBK" w:cs="Times New Roman"/>
          <w:sz w:val="32"/>
          <w:szCs w:val="32"/>
          <w:highlight w:val="none"/>
          <w:lang w:eastAsia="zh-CN"/>
        </w:rPr>
        <w:t>为</w:t>
      </w:r>
      <w:r>
        <w:rPr>
          <w:rFonts w:ascii="Times New Roman" w:hAnsi="Times New Roman" w:eastAsia="方正仿宋_GBK" w:cs="Times New Roman"/>
          <w:sz w:val="32"/>
          <w:szCs w:val="32"/>
          <w:highlight w:val="none"/>
        </w:rPr>
        <w:t>全面落实宿迁市2024年《现代服务业发展攻坚突破年实施方案》要求，抢抓现代服务业攻坚突破的战略机遇期，推动制造业和现代服务业双轮驱动，培育新动能，全面构建支撑强劲、面向未来的现代化产业体系，现制定如下实施方案。</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黑体_GBK" w:cs="Times New Roman"/>
          <w:sz w:val="32"/>
          <w:szCs w:val="32"/>
          <w:highlight w:val="none"/>
        </w:rPr>
      </w:pPr>
      <w:r>
        <w:rPr>
          <w:rFonts w:ascii="Times New Roman" w:hAnsi="Times New Roman" w:eastAsia="方正黑体_GBK" w:cs="Times New Roman"/>
          <w:sz w:val="32"/>
          <w:szCs w:val="32"/>
          <w:highlight w:val="none"/>
        </w:rPr>
        <w:t>一、年度目标</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楷体_GBK" w:cs="Times New Roman"/>
          <w:sz w:val="32"/>
          <w:szCs w:val="32"/>
          <w:highlight w:val="none"/>
        </w:rPr>
      </w:pPr>
      <w:r>
        <w:rPr>
          <w:rFonts w:ascii="Times New Roman" w:hAnsi="Times New Roman" w:eastAsia="方正楷体_GBK" w:cs="Times New Roman"/>
          <w:bCs/>
          <w:sz w:val="32"/>
          <w:szCs w:val="32"/>
          <w:highlight w:val="none"/>
        </w:rPr>
        <w:t>（一）产业集聚。</w:t>
      </w:r>
      <w:r>
        <w:rPr>
          <w:rFonts w:ascii="Times New Roman" w:hAnsi="Times New Roman" w:eastAsia="方正仿宋_GBK" w:cs="Times New Roman"/>
          <w:sz w:val="32"/>
          <w:szCs w:val="32"/>
          <w:highlight w:val="none"/>
        </w:rPr>
        <w:t>加快构建</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四大生产性服务业、三大生活性服务业、两大新兴服务业</w:t>
      </w:r>
      <w:r>
        <w:rPr>
          <w:rFonts w:hint="eastAsia" w:ascii="Times New Roman" w:hAnsi="Times New Roman" w:eastAsia="方正仿宋_GBK" w:cs="Times New Roman"/>
          <w:sz w:val="32"/>
          <w:szCs w:val="32"/>
          <w:highlight w:val="none"/>
          <w:lang w:val="en-US" w:eastAsia="zh-CN"/>
        </w:rPr>
        <w:t>”</w:t>
      </w:r>
      <w:r>
        <w:rPr>
          <w:rFonts w:ascii="Times New Roman" w:hAnsi="Times New Roman" w:eastAsia="方正仿宋_GBK" w:cs="Times New Roman"/>
          <w:sz w:val="32"/>
          <w:szCs w:val="32"/>
          <w:highlight w:val="none"/>
        </w:rPr>
        <w:t>的</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432</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现代服务业产业体系。2024年，</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432</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现代服务业领域增加值占服务业增加值比重达到8</w:t>
      </w:r>
      <w:r>
        <w:rPr>
          <w:rFonts w:hint="eastAsia" w:ascii="Times New Roman" w:hAnsi="Times New Roman" w:eastAsia="方正仿宋_GBK" w:cs="Times New Roman"/>
          <w:sz w:val="32"/>
          <w:szCs w:val="32"/>
          <w:highlight w:val="none"/>
        </w:rPr>
        <w:t>5</w:t>
      </w:r>
      <w:r>
        <w:rPr>
          <w:rFonts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rPr>
        <w:t>以上</w:t>
      </w:r>
      <w:r>
        <w:rPr>
          <w:rFonts w:ascii="Times New Roman" w:hAnsi="Times New Roman" w:eastAsia="方正仿宋_GBK" w:cs="Times New Roman"/>
          <w:sz w:val="32"/>
          <w:szCs w:val="32"/>
          <w:highlight w:val="none"/>
        </w:rPr>
        <w:t>。</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楷体_GBK" w:cs="Times New Roman"/>
          <w:b w:val="0"/>
          <w:bCs w:val="0"/>
          <w:sz w:val="32"/>
          <w:szCs w:val="32"/>
          <w:highlight w:val="none"/>
        </w:rPr>
      </w:pPr>
      <w:r>
        <w:rPr>
          <w:rFonts w:ascii="Times New Roman" w:hAnsi="Times New Roman" w:eastAsia="方正楷体_GBK" w:cs="Times New Roman"/>
          <w:bCs/>
          <w:sz w:val="32"/>
          <w:szCs w:val="32"/>
          <w:highlight w:val="none"/>
        </w:rPr>
        <w:t>（二）规模壮大。</w:t>
      </w:r>
      <w:r>
        <w:rPr>
          <w:rFonts w:ascii="Times New Roman" w:hAnsi="Times New Roman" w:eastAsia="方正仿宋_GBK" w:cs="Times New Roman"/>
          <w:sz w:val="32"/>
          <w:szCs w:val="32"/>
          <w:highlight w:val="none"/>
        </w:rPr>
        <w:t>服务业发展实力显著提</w:t>
      </w:r>
      <w:r>
        <w:rPr>
          <w:rFonts w:ascii="Times New Roman" w:hAnsi="Times New Roman" w:eastAsia="方正仿宋_GBK" w:cs="Times New Roman"/>
          <w:b w:val="0"/>
          <w:bCs w:val="0"/>
          <w:sz w:val="32"/>
          <w:szCs w:val="32"/>
          <w:highlight w:val="none"/>
        </w:rPr>
        <w:t>升，服务业总量持续扩大。2024年，全县规模以上服务业营业收入达25亿元。</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仿宋_GBK" w:cs="Times New Roman"/>
          <w:sz w:val="32"/>
          <w:szCs w:val="32"/>
          <w:highlight w:val="none"/>
        </w:rPr>
      </w:pPr>
      <w:r>
        <w:rPr>
          <w:rFonts w:ascii="Times New Roman" w:hAnsi="Times New Roman" w:eastAsia="方正楷体_GBK" w:cs="Times New Roman"/>
          <w:b w:val="0"/>
          <w:bCs w:val="0"/>
          <w:sz w:val="32"/>
          <w:szCs w:val="32"/>
          <w:highlight w:val="none"/>
        </w:rPr>
        <w:t>（三）贡献提升。</w:t>
      </w:r>
      <w:r>
        <w:rPr>
          <w:rFonts w:ascii="Times New Roman" w:hAnsi="Times New Roman" w:eastAsia="方正仿宋_GBK" w:cs="Times New Roman"/>
          <w:b w:val="0"/>
          <w:bCs w:val="0"/>
          <w:sz w:val="32"/>
          <w:szCs w:val="32"/>
          <w:highlight w:val="none"/>
        </w:rPr>
        <w:t>服务业对经济增长的贡献日益突出、占比稳步提升。2024年，全县服务业实现增加值350亿元，占地</w:t>
      </w:r>
      <w:r>
        <w:rPr>
          <w:rFonts w:ascii="Times New Roman" w:hAnsi="Times New Roman" w:eastAsia="方正仿宋_GBK" w:cs="Times New Roman"/>
          <w:sz w:val="32"/>
          <w:szCs w:val="32"/>
          <w:highlight w:val="none"/>
        </w:rPr>
        <w:t>区生产总值比重提升到</w:t>
      </w:r>
      <w:r>
        <w:rPr>
          <w:rFonts w:hint="eastAsia" w:ascii="Times New Roman" w:hAnsi="Times New Roman" w:eastAsia="方正仿宋_GBK" w:cs="Times New Roman"/>
          <w:sz w:val="32"/>
          <w:szCs w:val="32"/>
          <w:highlight w:val="none"/>
        </w:rPr>
        <w:t>48</w:t>
      </w:r>
      <w:r>
        <w:rPr>
          <w:rFonts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rPr>
        <w:t>以上</w:t>
      </w:r>
      <w:r>
        <w:rPr>
          <w:rFonts w:ascii="Times New Roman" w:hAnsi="Times New Roman" w:eastAsia="方正仿宋_GBK" w:cs="Times New Roman"/>
          <w:sz w:val="32"/>
          <w:szCs w:val="32"/>
          <w:highlight w:val="none"/>
        </w:rPr>
        <w:t>。</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黑体_GBK" w:cs="Times New Roman"/>
          <w:sz w:val="32"/>
          <w:szCs w:val="32"/>
          <w:highlight w:val="none"/>
        </w:rPr>
      </w:pPr>
      <w:r>
        <w:rPr>
          <w:rFonts w:ascii="Times New Roman" w:hAnsi="Times New Roman" w:eastAsia="方正楷体_GBK" w:cs="Times New Roman"/>
          <w:bCs/>
          <w:sz w:val="32"/>
          <w:szCs w:val="32"/>
          <w:highlight w:val="none"/>
        </w:rPr>
        <w:t>（四）体系完备。</w:t>
      </w:r>
      <w:r>
        <w:rPr>
          <w:rFonts w:ascii="Times New Roman" w:hAnsi="Times New Roman" w:eastAsia="方正仿宋_GBK" w:cs="Times New Roman"/>
          <w:sz w:val="32"/>
          <w:szCs w:val="32"/>
          <w:highlight w:val="none"/>
        </w:rPr>
        <w:t>聚力补齐生产性服务业短板，形成生产性服务业和生活性服务业双轮驱动的发展格局。</w:t>
      </w:r>
      <w:r>
        <w:rPr>
          <w:rFonts w:ascii="Times New Roman" w:hAnsi="Times New Roman" w:eastAsia="方正仿宋_GBK" w:cs="Times New Roman"/>
          <w:sz w:val="32"/>
          <w:szCs w:val="32"/>
          <w:highlight w:val="none"/>
          <w:lang w:val="zh-CN"/>
        </w:rPr>
        <w:t>2024年，生产性服务业</w:t>
      </w:r>
      <w:r>
        <w:rPr>
          <w:rFonts w:ascii="Times New Roman" w:hAnsi="Times New Roman" w:eastAsia="方正仿宋_GBK" w:cs="Times New Roman"/>
          <w:sz w:val="32"/>
          <w:szCs w:val="32"/>
          <w:highlight w:val="none"/>
        </w:rPr>
        <w:t>增加值</w:t>
      </w:r>
      <w:r>
        <w:rPr>
          <w:rFonts w:ascii="Times New Roman" w:hAnsi="Times New Roman" w:eastAsia="方正仿宋_GBK" w:cs="Times New Roman"/>
          <w:sz w:val="32"/>
          <w:szCs w:val="32"/>
          <w:highlight w:val="none"/>
          <w:lang w:val="zh-CN"/>
        </w:rPr>
        <w:t>占</w:t>
      </w:r>
      <w:r>
        <w:rPr>
          <w:rFonts w:ascii="Times New Roman" w:hAnsi="Times New Roman" w:eastAsia="方正仿宋_GBK" w:cs="Times New Roman"/>
          <w:sz w:val="32"/>
          <w:szCs w:val="32"/>
          <w:highlight w:val="none"/>
        </w:rPr>
        <w:t>全县服务业增加值比重达到</w:t>
      </w:r>
      <w:r>
        <w:rPr>
          <w:rFonts w:hint="eastAsia" w:ascii="Times New Roman" w:hAnsi="Times New Roman" w:eastAsia="方正仿宋_GBK" w:cs="Times New Roman"/>
          <w:sz w:val="32"/>
          <w:szCs w:val="32"/>
          <w:highlight w:val="none"/>
          <w:lang w:val="zh-CN"/>
        </w:rPr>
        <w:t>50</w:t>
      </w:r>
      <w:r>
        <w:rPr>
          <w:rFonts w:ascii="Times New Roman" w:hAnsi="Times New Roman" w:eastAsia="方正仿宋_GBK" w:cs="Times New Roman"/>
          <w:sz w:val="32"/>
          <w:szCs w:val="32"/>
          <w:highlight w:val="none"/>
          <w:lang w:val="zh-CN"/>
        </w:rPr>
        <w:t>%</w:t>
      </w:r>
      <w:r>
        <w:rPr>
          <w:rFonts w:hint="eastAsia" w:ascii="Times New Roman" w:hAnsi="Times New Roman" w:eastAsia="方正仿宋_GBK" w:cs="Times New Roman"/>
          <w:sz w:val="32"/>
          <w:szCs w:val="32"/>
          <w:highlight w:val="none"/>
          <w:lang w:val="zh-CN"/>
        </w:rPr>
        <w:t>以上</w:t>
      </w:r>
      <w:r>
        <w:rPr>
          <w:rFonts w:ascii="Times New Roman" w:hAnsi="Times New Roman" w:eastAsia="方正仿宋_GBK" w:cs="Times New Roman"/>
          <w:sz w:val="32"/>
          <w:szCs w:val="32"/>
          <w:highlight w:val="none"/>
          <w:lang w:val="zh-CN"/>
        </w:rPr>
        <w:t>。</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黑体_GBK" w:cs="Times New Roman"/>
          <w:sz w:val="32"/>
          <w:szCs w:val="32"/>
          <w:highlight w:val="none"/>
        </w:rPr>
      </w:pPr>
      <w:r>
        <w:rPr>
          <w:rFonts w:ascii="Times New Roman" w:hAnsi="Times New Roman" w:eastAsia="方正黑体_GBK" w:cs="Times New Roman"/>
          <w:sz w:val="32"/>
          <w:szCs w:val="32"/>
          <w:highlight w:val="none"/>
        </w:rPr>
        <w:t>二、工作思路</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楷体_GBK" w:cs="Times New Roman"/>
          <w:b/>
          <w:bCs/>
          <w:sz w:val="32"/>
          <w:szCs w:val="32"/>
          <w:highlight w:val="none"/>
        </w:rPr>
      </w:pPr>
      <w:r>
        <w:rPr>
          <w:rFonts w:ascii="Times New Roman" w:hAnsi="Times New Roman" w:eastAsia="方正楷体_GBK" w:cs="Times New Roman"/>
          <w:bCs/>
          <w:sz w:val="32"/>
          <w:szCs w:val="32"/>
          <w:highlight w:val="none"/>
        </w:rPr>
        <w:t>（一）明确任务。</w:t>
      </w:r>
      <w:r>
        <w:rPr>
          <w:rFonts w:ascii="Times New Roman" w:hAnsi="Times New Roman" w:eastAsia="方正仿宋_GBK" w:cs="Times New Roman"/>
          <w:sz w:val="32"/>
          <w:szCs w:val="32"/>
          <w:highlight w:val="none"/>
        </w:rPr>
        <w:t>充分考虑服务业行业门类广泛、市场主体分散的特点，对不同板块和不同条线突出重点、精准发力，明确我县目标任务体系（附件1），</w:t>
      </w:r>
      <w:r>
        <w:rPr>
          <w:rFonts w:hint="eastAsia" w:ascii="Times New Roman" w:hAnsi="Times New Roman" w:eastAsia="方正仿宋_GBK" w:cs="Times New Roman"/>
          <w:sz w:val="32"/>
          <w:szCs w:val="32"/>
          <w:highlight w:val="none"/>
        </w:rPr>
        <w:t>通过</w:t>
      </w:r>
      <w:r>
        <w:rPr>
          <w:rFonts w:ascii="Times New Roman" w:hAnsi="Times New Roman" w:eastAsia="方正仿宋_GBK" w:cs="Times New Roman"/>
          <w:sz w:val="32"/>
          <w:szCs w:val="32"/>
          <w:highlight w:val="none"/>
        </w:rPr>
        <w:t>加大</w:t>
      </w:r>
      <w:r>
        <w:rPr>
          <w:rFonts w:hint="eastAsia" w:ascii="Times New Roman" w:hAnsi="Times New Roman" w:eastAsia="方正仿宋_GBK" w:cs="Times New Roman"/>
          <w:sz w:val="32"/>
          <w:szCs w:val="32"/>
          <w:highlight w:val="none"/>
        </w:rPr>
        <w:t>服务业企业的招引</w:t>
      </w:r>
      <w:r>
        <w:rPr>
          <w:rFonts w:ascii="Times New Roman" w:hAnsi="Times New Roman" w:eastAsia="方正仿宋_GBK" w:cs="Times New Roman"/>
          <w:sz w:val="32"/>
          <w:szCs w:val="32"/>
          <w:highlight w:val="none"/>
        </w:rPr>
        <w:t>力度，壮大服务业增量规模</w:t>
      </w:r>
      <w:r>
        <w:rPr>
          <w:rFonts w:hint="eastAsia"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eastAsia="zh-CN"/>
        </w:rPr>
        <w:t>以</w:t>
      </w:r>
      <w:r>
        <w:rPr>
          <w:rFonts w:ascii="Times New Roman" w:hAnsi="Times New Roman" w:eastAsia="方正仿宋_GBK" w:cs="Times New Roman"/>
          <w:sz w:val="32"/>
          <w:szCs w:val="32"/>
          <w:highlight w:val="none"/>
        </w:rPr>
        <w:t>增量培育</w:t>
      </w:r>
      <w:r>
        <w:rPr>
          <w:rFonts w:hint="eastAsia" w:ascii="Times New Roman" w:hAnsi="Times New Roman" w:eastAsia="方正仿宋_GBK" w:cs="Times New Roman"/>
          <w:sz w:val="32"/>
          <w:szCs w:val="32"/>
          <w:highlight w:val="none"/>
        </w:rPr>
        <w:t>类</w:t>
      </w:r>
      <w:r>
        <w:rPr>
          <w:rFonts w:ascii="Times New Roman" w:hAnsi="Times New Roman" w:eastAsia="方正仿宋_GBK" w:cs="Times New Roman"/>
          <w:sz w:val="32"/>
          <w:szCs w:val="32"/>
          <w:highlight w:val="none"/>
        </w:rPr>
        <w:t>指标</w:t>
      </w:r>
      <w:r>
        <w:rPr>
          <w:rFonts w:hint="eastAsia" w:ascii="Times New Roman" w:hAnsi="Times New Roman" w:eastAsia="方正仿宋_GBK" w:cs="Times New Roman"/>
          <w:sz w:val="32"/>
          <w:szCs w:val="32"/>
          <w:highlight w:val="none"/>
        </w:rPr>
        <w:t>的完成带动综合绩效类指标的提升，</w:t>
      </w:r>
      <w:r>
        <w:rPr>
          <w:rFonts w:ascii="Times New Roman" w:hAnsi="Times New Roman" w:eastAsia="方正仿宋_GBK" w:cs="Times New Roman"/>
          <w:sz w:val="32"/>
          <w:szCs w:val="32"/>
          <w:highlight w:val="none"/>
        </w:rPr>
        <w:t>确保目标的引领性、科学性、实操性。</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楷体_GBK" w:cs="Times New Roman"/>
          <w:b/>
          <w:bCs/>
          <w:sz w:val="32"/>
          <w:szCs w:val="32"/>
          <w:highlight w:val="none"/>
        </w:rPr>
      </w:pPr>
      <w:r>
        <w:rPr>
          <w:rFonts w:ascii="Times New Roman" w:hAnsi="Times New Roman" w:eastAsia="方正楷体_GBK" w:cs="Times New Roman"/>
          <w:bCs/>
          <w:sz w:val="32"/>
          <w:szCs w:val="32"/>
          <w:highlight w:val="none"/>
        </w:rPr>
        <w:t>（二）分类指导。</w:t>
      </w:r>
      <w:r>
        <w:rPr>
          <w:rFonts w:ascii="Times New Roman" w:hAnsi="Times New Roman" w:eastAsia="方正仿宋_GBK" w:cs="Times New Roman"/>
          <w:sz w:val="32"/>
          <w:szCs w:val="32"/>
          <w:highlight w:val="none"/>
        </w:rPr>
        <w:t>按照</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县乡联动、条块结合</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的工作思路，县直各行业主管部门围绕牵头行业的核心指标（附件</w:t>
      </w:r>
      <w:r>
        <w:rPr>
          <w:rFonts w:hint="eastAsia" w:ascii="Times New Roman" w:hAnsi="Times New Roman" w:eastAsia="方正仿宋_GBK" w:cs="Times New Roman"/>
          <w:sz w:val="32"/>
          <w:szCs w:val="32"/>
          <w:highlight w:val="none"/>
        </w:rPr>
        <w:t>2</w:t>
      </w:r>
      <w:r>
        <w:rPr>
          <w:rFonts w:ascii="Times New Roman" w:hAnsi="Times New Roman" w:eastAsia="方正仿宋_GBK" w:cs="Times New Roman"/>
          <w:sz w:val="32"/>
          <w:szCs w:val="32"/>
          <w:highlight w:val="none"/>
        </w:rPr>
        <w:t>）、关键事项开展前置指导、推进、考核，各乡镇（街道）、园区担起属地主体责任，县现代服务业发展工作领导小组办公室定期组织调度，推动形成</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点线面</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齐抓共管的</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一盘棋</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格局。</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楷体_GBK" w:cs="Times New Roman"/>
          <w:b/>
          <w:bCs/>
          <w:sz w:val="32"/>
          <w:szCs w:val="32"/>
          <w:highlight w:val="none"/>
        </w:rPr>
      </w:pPr>
      <w:r>
        <w:rPr>
          <w:rFonts w:ascii="Times New Roman" w:hAnsi="Times New Roman" w:eastAsia="方正楷体_GBK" w:cs="Times New Roman"/>
          <w:bCs/>
          <w:sz w:val="32"/>
          <w:szCs w:val="32"/>
          <w:highlight w:val="none"/>
        </w:rPr>
        <w:t>（三）精准施策。</w:t>
      </w:r>
      <w:r>
        <w:rPr>
          <w:rFonts w:ascii="Times New Roman" w:hAnsi="Times New Roman" w:eastAsia="方正仿宋_GBK" w:cs="Times New Roman"/>
          <w:sz w:val="32"/>
          <w:szCs w:val="32"/>
          <w:highlight w:val="none"/>
        </w:rPr>
        <w:t>坚持以问题为导向，针对当前存在的</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总体不均、个体不强</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问题，将培育市场主体作为核心抓手，一方面大力发展与现代化产业体系相匹配的生产性服务业，充分发挥生产性服务业牵引作用，推动服务业总体均衡发展；另一方面，加快招引服务业龙头企业、支撑平台，扩大服务业投资，打造知名品牌，提升服务业发展规模和水平。</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仿宋_GBK" w:cs="Times New Roman"/>
          <w:sz w:val="32"/>
          <w:szCs w:val="32"/>
          <w:highlight w:val="none"/>
        </w:rPr>
      </w:pPr>
      <w:r>
        <w:rPr>
          <w:rFonts w:ascii="Times New Roman" w:hAnsi="Times New Roman" w:eastAsia="方正楷体_GBK" w:cs="Times New Roman"/>
          <w:bCs/>
          <w:sz w:val="32"/>
          <w:szCs w:val="32"/>
          <w:highlight w:val="none"/>
        </w:rPr>
        <w:t>（四）重点突破。</w:t>
      </w:r>
      <w:r>
        <w:rPr>
          <w:rFonts w:ascii="Times New Roman" w:hAnsi="Times New Roman" w:eastAsia="方正仿宋_GBK" w:cs="Times New Roman"/>
          <w:sz w:val="32"/>
          <w:szCs w:val="32"/>
          <w:highlight w:val="none"/>
        </w:rPr>
        <w:t>把重大项目招引作为推进服务业发展的关键，</w:t>
      </w:r>
      <w:r>
        <w:rPr>
          <w:rFonts w:hint="eastAsia" w:ascii="Times New Roman" w:hAnsi="Times New Roman" w:eastAsia="方正仿宋_GBK" w:cs="Times New Roman"/>
          <w:sz w:val="32"/>
          <w:szCs w:val="32"/>
          <w:highlight w:val="none"/>
        </w:rPr>
        <w:t>大力实施现代服务业招商</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rPr>
        <w:t>1226</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rPr>
        <w:t>工程</w:t>
      </w:r>
      <w:r>
        <w:rPr>
          <w:rFonts w:hint="eastAsia" w:ascii="Times New Roman" w:hAnsi="Times New Roman" w:eastAsia="方正仿宋_GBK" w:cs="Times New Roman"/>
          <w:sz w:val="32"/>
          <w:szCs w:val="32"/>
          <w:highlight w:val="none"/>
          <w:lang w:eastAsia="zh-CN"/>
        </w:rPr>
        <w:t>（</w:t>
      </w:r>
      <w:r>
        <w:rPr>
          <w:rFonts w:hint="eastAsia" w:ascii="方正仿宋_GBK" w:hAnsi="方正仿宋_GBK" w:eastAsia="方正仿宋_GBK" w:cs="方正仿宋_GBK"/>
          <w:kern w:val="2"/>
          <w:sz w:val="32"/>
          <w:szCs w:val="32"/>
          <w:highlight w:val="none"/>
          <w:lang w:val="en-US" w:eastAsia="zh-CN" w:bidi="ar"/>
        </w:rPr>
        <w:t>全年新引进交易额</w:t>
      </w:r>
      <w:r>
        <w:rPr>
          <w:rFonts w:hint="default" w:ascii="Times New Roman" w:hAnsi="Times New Roman" w:eastAsia="方正仿宋_GBK" w:cs="Times New Roman"/>
          <w:kern w:val="2"/>
          <w:sz w:val="32"/>
          <w:szCs w:val="32"/>
          <w:highlight w:val="none"/>
          <w:lang w:val="en-US" w:eastAsia="zh-CN" w:bidi="ar"/>
        </w:rPr>
        <w:t>100</w:t>
      </w:r>
      <w:r>
        <w:rPr>
          <w:rFonts w:hint="eastAsia" w:ascii="方正仿宋_GBK" w:hAnsi="方正仿宋_GBK" w:eastAsia="方正仿宋_GBK" w:cs="方正仿宋_GBK"/>
          <w:kern w:val="2"/>
          <w:sz w:val="32"/>
          <w:szCs w:val="32"/>
          <w:highlight w:val="none"/>
          <w:lang w:val="en-US" w:eastAsia="zh-CN" w:bidi="ar"/>
        </w:rPr>
        <w:t>亿元平台企业数量</w:t>
      </w:r>
      <w:r>
        <w:rPr>
          <w:rFonts w:hint="default" w:ascii="Times New Roman" w:hAnsi="Times New Roman" w:eastAsia="方正仿宋_GBK" w:cs="Times New Roman"/>
          <w:kern w:val="2"/>
          <w:sz w:val="32"/>
          <w:szCs w:val="32"/>
          <w:highlight w:val="none"/>
          <w:lang w:val="en-US" w:eastAsia="zh-CN" w:bidi="ar"/>
        </w:rPr>
        <w:t>1</w:t>
      </w:r>
      <w:r>
        <w:rPr>
          <w:rFonts w:hint="eastAsia" w:ascii="方正仿宋_GBK" w:hAnsi="方正仿宋_GBK" w:eastAsia="方正仿宋_GBK" w:cs="方正仿宋_GBK"/>
          <w:kern w:val="2"/>
          <w:sz w:val="32"/>
          <w:szCs w:val="32"/>
          <w:highlight w:val="none"/>
          <w:lang w:val="en-US" w:eastAsia="zh-CN" w:bidi="ar"/>
        </w:rPr>
        <w:t>个，新引进营收超</w:t>
      </w:r>
      <w:r>
        <w:rPr>
          <w:rFonts w:hint="default" w:ascii="Times New Roman" w:hAnsi="Times New Roman" w:eastAsia="方正仿宋_GBK" w:cs="Times New Roman"/>
          <w:kern w:val="2"/>
          <w:sz w:val="32"/>
          <w:szCs w:val="32"/>
          <w:highlight w:val="none"/>
          <w:lang w:val="en-US" w:eastAsia="zh-CN" w:bidi="ar"/>
        </w:rPr>
        <w:t>10</w:t>
      </w:r>
      <w:r>
        <w:rPr>
          <w:rFonts w:hint="eastAsia" w:ascii="方正仿宋_GBK" w:hAnsi="方正仿宋_GBK" w:eastAsia="方正仿宋_GBK" w:cs="方正仿宋_GBK"/>
          <w:kern w:val="2"/>
          <w:sz w:val="32"/>
          <w:szCs w:val="32"/>
          <w:highlight w:val="none"/>
          <w:lang w:val="en-US" w:eastAsia="zh-CN" w:bidi="ar"/>
        </w:rPr>
        <w:t>亿元企业数量</w:t>
      </w:r>
      <w:r>
        <w:rPr>
          <w:rFonts w:hint="default" w:ascii="Times New Roman" w:hAnsi="Times New Roman" w:eastAsia="方正仿宋_GBK" w:cs="Times New Roman"/>
          <w:kern w:val="2"/>
          <w:sz w:val="32"/>
          <w:szCs w:val="32"/>
          <w:highlight w:val="none"/>
          <w:lang w:val="en-US" w:eastAsia="zh-CN" w:bidi="ar"/>
        </w:rPr>
        <w:t>2</w:t>
      </w:r>
      <w:r>
        <w:rPr>
          <w:rFonts w:hint="eastAsia" w:ascii="方正仿宋_GBK" w:hAnsi="方正仿宋_GBK" w:eastAsia="方正仿宋_GBK" w:cs="方正仿宋_GBK"/>
          <w:kern w:val="2"/>
          <w:sz w:val="32"/>
          <w:szCs w:val="32"/>
          <w:highlight w:val="none"/>
          <w:lang w:val="en-US" w:eastAsia="zh-CN" w:bidi="ar"/>
        </w:rPr>
        <w:t>个，新引进投资亿元以上载体项目数量</w:t>
      </w:r>
      <w:r>
        <w:rPr>
          <w:rFonts w:hint="default" w:ascii="Times New Roman" w:hAnsi="Times New Roman" w:eastAsia="方正仿宋_GBK" w:cs="Times New Roman"/>
          <w:kern w:val="2"/>
          <w:sz w:val="32"/>
          <w:szCs w:val="32"/>
          <w:highlight w:val="none"/>
          <w:lang w:val="en-US" w:eastAsia="zh-CN" w:bidi="ar"/>
        </w:rPr>
        <w:t>20</w:t>
      </w:r>
      <w:r>
        <w:rPr>
          <w:rFonts w:hint="eastAsia" w:ascii="方正仿宋_GBK" w:hAnsi="方正仿宋_GBK" w:eastAsia="方正仿宋_GBK" w:cs="方正仿宋_GBK"/>
          <w:kern w:val="2"/>
          <w:sz w:val="32"/>
          <w:szCs w:val="32"/>
          <w:highlight w:val="none"/>
          <w:lang w:val="en-US" w:eastAsia="zh-CN" w:bidi="ar"/>
        </w:rPr>
        <w:t>个，新引进并当年实现入规企业数量</w:t>
      </w:r>
      <w:r>
        <w:rPr>
          <w:rFonts w:hint="default" w:ascii="Times New Roman" w:hAnsi="Times New Roman" w:eastAsia="方正仿宋_GBK" w:cs="Times New Roman"/>
          <w:kern w:val="2"/>
          <w:sz w:val="32"/>
          <w:szCs w:val="32"/>
          <w:highlight w:val="none"/>
          <w:lang w:val="en-US" w:eastAsia="zh-CN" w:bidi="ar"/>
        </w:rPr>
        <w:t>60</w:t>
      </w:r>
      <w:r>
        <w:rPr>
          <w:rFonts w:hint="eastAsia" w:ascii="方正仿宋_GBK" w:hAnsi="方正仿宋_GBK" w:eastAsia="方正仿宋_GBK" w:cs="方正仿宋_GBK"/>
          <w:kern w:val="2"/>
          <w:sz w:val="32"/>
          <w:szCs w:val="32"/>
          <w:highlight w:val="none"/>
          <w:lang w:val="en-US" w:eastAsia="zh-CN" w:bidi="ar"/>
        </w:rPr>
        <w:t>个</w:t>
      </w:r>
      <w:r>
        <w:rPr>
          <w:rFonts w:hint="eastAsia" w:ascii="Times New Roman" w:hAnsi="Times New Roman" w:eastAsia="方正仿宋_GBK" w:cs="Times New Roman"/>
          <w:sz w:val="32"/>
          <w:szCs w:val="32"/>
          <w:highlight w:val="none"/>
          <w:lang w:eastAsia="zh-CN"/>
        </w:rPr>
        <w:t>）</w:t>
      </w:r>
      <w:r>
        <w:rPr>
          <w:rFonts w:hint="eastAsia" w:ascii="Times New Roman" w:hAnsi="Times New Roman" w:eastAsia="方正仿宋_GBK" w:cs="Times New Roman"/>
          <w:sz w:val="32"/>
          <w:szCs w:val="32"/>
          <w:highlight w:val="none"/>
        </w:rPr>
        <w:t>，</w:t>
      </w:r>
      <w:r>
        <w:rPr>
          <w:rFonts w:ascii="Times New Roman" w:hAnsi="Times New Roman" w:eastAsia="方正仿宋_GBK" w:cs="Times New Roman"/>
          <w:sz w:val="32"/>
          <w:szCs w:val="32"/>
          <w:highlight w:val="none"/>
        </w:rPr>
        <w:t>全力攻坚突破平台型、总部型、支撑型三类项目，大力培育规上（限上）服务业企业、营业收入（销售额）超亿元（10亿元）企业、交易额超100亿元平台企业，发展壮大一批成长性高、基础性好、支撑性强的产业。</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黑体_GBK" w:cs="Times New Roman"/>
          <w:sz w:val="32"/>
          <w:szCs w:val="32"/>
          <w:highlight w:val="none"/>
        </w:rPr>
      </w:pPr>
      <w:r>
        <w:rPr>
          <w:rFonts w:ascii="Times New Roman" w:hAnsi="Times New Roman" w:eastAsia="方正黑体_GBK" w:cs="Times New Roman"/>
          <w:sz w:val="32"/>
          <w:szCs w:val="32"/>
          <w:highlight w:val="none"/>
        </w:rPr>
        <w:t>三、重点任务</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ascii="Times New Roman" w:hAnsi="Times New Roman" w:eastAsia="方正仿宋_GBK" w:cs="Times New Roman"/>
          <w:sz w:val="32"/>
          <w:szCs w:val="32"/>
          <w:highlight w:val="none"/>
        </w:rPr>
      </w:pPr>
      <w:r>
        <w:rPr>
          <w:rFonts w:ascii="Times New Roman" w:hAnsi="Times New Roman" w:eastAsia="方正楷体_GBK" w:cs="Times New Roman"/>
          <w:bCs/>
          <w:sz w:val="32"/>
          <w:szCs w:val="32"/>
          <w:highlight w:val="none"/>
        </w:rPr>
        <w:t>（一）主要指标快速增长。</w:t>
      </w:r>
      <w:r>
        <w:rPr>
          <w:rFonts w:ascii="Times New Roman" w:hAnsi="Times New Roman" w:eastAsia="方正仿宋_GBK" w:cs="Times New Roman"/>
          <w:sz w:val="32"/>
          <w:szCs w:val="32"/>
          <w:highlight w:val="none"/>
        </w:rPr>
        <w:t>2024年，全县服务业增加值同比增长7.5%以上；全县服务业税收同比增速20%；全县服务业固定资产投资同比增速7%；全县规上服务业营业收入同比增速27%以上，其中规上生产性服务业营收增速28%以上，特色产业规上营收增速30%以上（现代物流、现代商贸、文化旅游）；社会消费品零售总额同比增长9%以上。</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仿宋_GBK" w:cs="Times New Roman"/>
          <w:sz w:val="32"/>
          <w:szCs w:val="32"/>
          <w:highlight w:val="none"/>
        </w:rPr>
      </w:pPr>
      <w:r>
        <w:rPr>
          <w:rFonts w:ascii="Times New Roman" w:hAnsi="Times New Roman" w:eastAsia="方正楷体_GBK" w:cs="Times New Roman"/>
          <w:bCs/>
          <w:sz w:val="32"/>
          <w:szCs w:val="32"/>
          <w:highlight w:val="none"/>
        </w:rPr>
        <w:t>（二）主体引育加快突破。</w:t>
      </w:r>
      <w:r>
        <w:rPr>
          <w:rFonts w:ascii="Times New Roman" w:hAnsi="Times New Roman" w:eastAsia="方正仿宋_GBK" w:cs="Times New Roman"/>
          <w:sz w:val="32"/>
          <w:szCs w:val="32"/>
          <w:highlight w:val="none"/>
        </w:rPr>
        <w:t>2024年，全县准</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规（限）上</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企业入库数量、新增入规（限）企业数量分别达到</w:t>
      </w:r>
      <w:r>
        <w:rPr>
          <w:rFonts w:hint="eastAsia" w:ascii="Times New Roman" w:hAnsi="Times New Roman" w:eastAsia="方正仿宋_GBK" w:cs="Times New Roman"/>
          <w:sz w:val="32"/>
          <w:szCs w:val="32"/>
          <w:highlight w:val="none"/>
          <w:lang w:val="en-US" w:eastAsia="zh-CN"/>
        </w:rPr>
        <w:t>240</w:t>
      </w:r>
      <w:r>
        <w:rPr>
          <w:rFonts w:ascii="Times New Roman" w:hAnsi="Times New Roman" w:eastAsia="方正仿宋_GBK" w:cs="Times New Roman"/>
          <w:sz w:val="32"/>
          <w:szCs w:val="32"/>
          <w:highlight w:val="none"/>
        </w:rPr>
        <w:t>个（规上100个、限上</w:t>
      </w:r>
      <w:r>
        <w:rPr>
          <w:rFonts w:hint="eastAsia" w:ascii="Times New Roman" w:hAnsi="Times New Roman" w:eastAsia="方正仿宋_GBK" w:cs="Times New Roman"/>
          <w:sz w:val="32"/>
          <w:szCs w:val="32"/>
          <w:highlight w:val="none"/>
          <w:lang w:val="en-US" w:eastAsia="zh-CN"/>
        </w:rPr>
        <w:t>140</w:t>
      </w:r>
      <w:r>
        <w:rPr>
          <w:rFonts w:ascii="Times New Roman" w:hAnsi="Times New Roman" w:eastAsia="方正仿宋_GBK" w:cs="Times New Roman"/>
          <w:sz w:val="32"/>
          <w:szCs w:val="32"/>
          <w:highlight w:val="none"/>
        </w:rPr>
        <w:t>个）、</w:t>
      </w:r>
      <w:r>
        <w:rPr>
          <w:rFonts w:hint="eastAsia" w:ascii="Times New Roman" w:hAnsi="Times New Roman" w:eastAsia="方正仿宋_GBK" w:cs="Times New Roman"/>
          <w:sz w:val="32"/>
          <w:szCs w:val="32"/>
          <w:highlight w:val="none"/>
          <w:lang w:val="en-US" w:eastAsia="zh-CN"/>
        </w:rPr>
        <w:t>150</w:t>
      </w:r>
      <w:r>
        <w:rPr>
          <w:rFonts w:ascii="Times New Roman" w:hAnsi="Times New Roman" w:eastAsia="方正仿宋_GBK" w:cs="Times New Roman"/>
          <w:sz w:val="32"/>
          <w:szCs w:val="32"/>
          <w:highlight w:val="none"/>
        </w:rPr>
        <w:t>个（规上</w:t>
      </w:r>
      <w:r>
        <w:rPr>
          <w:rFonts w:hint="eastAsia" w:ascii="Times New Roman" w:hAnsi="Times New Roman" w:eastAsia="方正仿宋_GBK" w:cs="Times New Roman"/>
          <w:sz w:val="32"/>
          <w:szCs w:val="32"/>
          <w:highlight w:val="none"/>
        </w:rPr>
        <w:t>60</w:t>
      </w:r>
      <w:r>
        <w:rPr>
          <w:rFonts w:ascii="Times New Roman" w:hAnsi="Times New Roman" w:eastAsia="方正仿宋_GBK" w:cs="Times New Roman"/>
          <w:sz w:val="32"/>
          <w:szCs w:val="32"/>
          <w:highlight w:val="none"/>
        </w:rPr>
        <w:t>个、限上</w:t>
      </w:r>
      <w:r>
        <w:rPr>
          <w:rFonts w:hint="eastAsia" w:ascii="Times New Roman" w:hAnsi="Times New Roman" w:eastAsia="方正仿宋_GBK" w:cs="Times New Roman"/>
          <w:sz w:val="32"/>
          <w:szCs w:val="32"/>
          <w:highlight w:val="none"/>
          <w:lang w:val="en-US" w:eastAsia="zh-CN"/>
        </w:rPr>
        <w:t>90</w:t>
      </w:r>
      <w:r>
        <w:rPr>
          <w:rFonts w:ascii="Times New Roman" w:hAnsi="Times New Roman" w:eastAsia="方正仿宋_GBK" w:cs="Times New Roman"/>
          <w:sz w:val="32"/>
          <w:szCs w:val="32"/>
          <w:highlight w:val="none"/>
        </w:rPr>
        <w:t>个），</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规（限）上</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企业净增数量</w:t>
      </w:r>
      <w:r>
        <w:rPr>
          <w:rFonts w:hint="eastAsia" w:ascii="Times New Roman" w:hAnsi="Times New Roman" w:eastAsia="方正仿宋_GBK" w:cs="Times New Roman"/>
          <w:sz w:val="32"/>
          <w:szCs w:val="32"/>
          <w:highlight w:val="none"/>
          <w:lang w:val="en-US" w:eastAsia="zh-CN"/>
        </w:rPr>
        <w:t>110</w:t>
      </w:r>
      <w:r>
        <w:rPr>
          <w:rFonts w:ascii="Times New Roman" w:hAnsi="Times New Roman" w:eastAsia="方正仿宋_GBK" w:cs="Times New Roman"/>
          <w:sz w:val="32"/>
          <w:szCs w:val="32"/>
          <w:highlight w:val="none"/>
        </w:rPr>
        <w:t>个（规上</w:t>
      </w:r>
      <w:r>
        <w:rPr>
          <w:rFonts w:hint="eastAsia" w:ascii="Times New Roman" w:hAnsi="Times New Roman" w:eastAsia="方正仿宋_GBK" w:cs="Times New Roman"/>
          <w:sz w:val="32"/>
          <w:szCs w:val="32"/>
          <w:highlight w:val="none"/>
        </w:rPr>
        <w:t>40</w:t>
      </w:r>
      <w:r>
        <w:rPr>
          <w:rFonts w:ascii="Times New Roman" w:hAnsi="Times New Roman" w:eastAsia="方正仿宋_GBK" w:cs="Times New Roman"/>
          <w:sz w:val="32"/>
          <w:szCs w:val="32"/>
          <w:highlight w:val="none"/>
        </w:rPr>
        <w:t>个、限上</w:t>
      </w:r>
      <w:r>
        <w:rPr>
          <w:rFonts w:hint="eastAsia" w:ascii="Times New Roman" w:hAnsi="Times New Roman" w:eastAsia="方正仿宋_GBK" w:cs="Times New Roman"/>
          <w:sz w:val="32"/>
          <w:szCs w:val="32"/>
          <w:highlight w:val="none"/>
          <w:lang w:val="en-US" w:eastAsia="zh-CN"/>
        </w:rPr>
        <w:t>70</w:t>
      </w:r>
      <w:r>
        <w:rPr>
          <w:rFonts w:ascii="Times New Roman" w:hAnsi="Times New Roman" w:eastAsia="方正仿宋_GBK" w:cs="Times New Roman"/>
          <w:sz w:val="32"/>
          <w:szCs w:val="32"/>
          <w:highlight w:val="none"/>
        </w:rPr>
        <w:t>个）；新增规上服务业营收超亿元（10亿元）企业数量</w:t>
      </w:r>
      <w:r>
        <w:rPr>
          <w:rFonts w:hint="eastAsia" w:ascii="Times New Roman" w:hAnsi="Times New Roman" w:eastAsia="方正仿宋_GBK" w:cs="Times New Roman"/>
          <w:sz w:val="32"/>
          <w:szCs w:val="32"/>
          <w:highlight w:val="none"/>
        </w:rPr>
        <w:t>20</w:t>
      </w:r>
      <w:r>
        <w:rPr>
          <w:rFonts w:ascii="Times New Roman" w:hAnsi="Times New Roman" w:eastAsia="方正仿宋_GBK" w:cs="Times New Roman"/>
          <w:sz w:val="32"/>
          <w:szCs w:val="32"/>
          <w:highlight w:val="none"/>
        </w:rPr>
        <w:t>个（</w:t>
      </w:r>
      <w:r>
        <w:rPr>
          <w:rFonts w:hint="eastAsia" w:ascii="Times New Roman" w:hAnsi="Times New Roman" w:eastAsia="方正仿宋_GBK" w:cs="Times New Roman"/>
          <w:sz w:val="32"/>
          <w:szCs w:val="32"/>
          <w:highlight w:val="none"/>
        </w:rPr>
        <w:t>2</w:t>
      </w:r>
      <w:r>
        <w:rPr>
          <w:rFonts w:ascii="Times New Roman" w:hAnsi="Times New Roman" w:eastAsia="方正仿宋_GBK" w:cs="Times New Roman"/>
          <w:sz w:val="32"/>
          <w:szCs w:val="32"/>
          <w:highlight w:val="none"/>
        </w:rPr>
        <w:t>个）；新增交易额100亿元平台企业数量1个；新增省级两业融合试点企业3个；新增省级服务业领军企业数量1个。</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仿宋_GBK" w:cs="Times New Roman"/>
          <w:sz w:val="32"/>
          <w:szCs w:val="32"/>
          <w:highlight w:val="none"/>
        </w:rPr>
      </w:pPr>
      <w:r>
        <w:rPr>
          <w:rFonts w:ascii="Times New Roman" w:hAnsi="Times New Roman" w:eastAsia="方正楷体_GBK" w:cs="Times New Roman"/>
          <w:bCs/>
          <w:sz w:val="32"/>
          <w:szCs w:val="32"/>
          <w:highlight w:val="none"/>
        </w:rPr>
        <w:t>（三）载体建设提品升级。</w:t>
      </w:r>
      <w:r>
        <w:rPr>
          <w:rFonts w:ascii="Times New Roman" w:hAnsi="Times New Roman" w:eastAsia="方正仿宋_GBK" w:cs="Times New Roman"/>
          <w:sz w:val="32"/>
          <w:szCs w:val="32"/>
          <w:highlight w:val="none"/>
        </w:rPr>
        <w:t>2024年，全县完成新开工投资亿元以上载体项目数量</w:t>
      </w:r>
      <w:r>
        <w:rPr>
          <w:rFonts w:hint="eastAsia" w:ascii="Times New Roman" w:hAnsi="Times New Roman" w:eastAsia="方正仿宋_GBK" w:cs="Times New Roman"/>
          <w:sz w:val="32"/>
          <w:szCs w:val="32"/>
          <w:highlight w:val="none"/>
          <w:lang w:val="en-US" w:eastAsia="zh-CN"/>
        </w:rPr>
        <w:t>20</w:t>
      </w:r>
      <w:r>
        <w:rPr>
          <w:rFonts w:ascii="Times New Roman" w:hAnsi="Times New Roman" w:eastAsia="方正仿宋_GBK" w:cs="Times New Roman"/>
          <w:sz w:val="32"/>
          <w:szCs w:val="32"/>
          <w:highlight w:val="none"/>
        </w:rPr>
        <w:t>个；新竣工投资亿元以上载体项目数量</w:t>
      </w:r>
      <w:r>
        <w:rPr>
          <w:rFonts w:hint="eastAsia" w:ascii="Times New Roman" w:hAnsi="Times New Roman" w:eastAsia="方正仿宋_GBK" w:cs="Times New Roman"/>
          <w:sz w:val="32"/>
          <w:szCs w:val="32"/>
          <w:highlight w:val="none"/>
          <w:lang w:val="en-US" w:eastAsia="zh-CN"/>
        </w:rPr>
        <w:t>15</w:t>
      </w:r>
      <w:r>
        <w:rPr>
          <w:rFonts w:ascii="Times New Roman" w:hAnsi="Times New Roman" w:eastAsia="方正仿宋_GBK" w:cs="Times New Roman"/>
          <w:sz w:val="32"/>
          <w:szCs w:val="32"/>
          <w:highlight w:val="none"/>
        </w:rPr>
        <w:t>个。全面落实现代服务业发展集聚示范行动，围绕现代物流、文化旅游、现代商贸进行重点发展和特色打造。2024年，全县集聚区注册企业数量增长达15%；新增省现代服务业高质量集聚区1个；新增市现代服务业高质量集聚区4个。</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仿宋_GBK" w:cs="Times New Roman"/>
          <w:sz w:val="32"/>
          <w:szCs w:val="32"/>
          <w:highlight w:val="none"/>
        </w:rPr>
      </w:pPr>
      <w:r>
        <w:rPr>
          <w:rFonts w:ascii="Times New Roman" w:hAnsi="Times New Roman" w:eastAsia="方正楷体_GBK" w:cs="Times New Roman"/>
          <w:bCs/>
          <w:sz w:val="32"/>
          <w:szCs w:val="32"/>
          <w:highlight w:val="none"/>
        </w:rPr>
        <w:t>（四）人才人口加速集聚。</w:t>
      </w:r>
      <w:r>
        <w:rPr>
          <w:rFonts w:ascii="Times New Roman" w:hAnsi="Times New Roman" w:eastAsia="方正仿宋_GBK" w:cs="Times New Roman"/>
          <w:sz w:val="32"/>
          <w:szCs w:val="32"/>
          <w:highlight w:val="none"/>
        </w:rPr>
        <w:t>持续提升服务业吸纳就业、吸引人才的集聚效应，全方位培养、引进、用好人才，实现人才引领服务业高质量发展。2024年，全县城镇新增服务业就业人数</w:t>
      </w:r>
      <w:r>
        <w:rPr>
          <w:rFonts w:hint="eastAsia" w:ascii="Times New Roman" w:hAnsi="Times New Roman" w:eastAsia="方正仿宋_GBK" w:cs="Times New Roman"/>
          <w:sz w:val="32"/>
          <w:szCs w:val="32"/>
          <w:highlight w:val="none"/>
        </w:rPr>
        <w:t>23</w:t>
      </w:r>
      <w:r>
        <w:rPr>
          <w:rFonts w:ascii="Times New Roman" w:hAnsi="Times New Roman" w:eastAsia="方正仿宋_GBK" w:cs="Times New Roman"/>
          <w:sz w:val="32"/>
          <w:szCs w:val="32"/>
          <w:highlight w:val="none"/>
        </w:rPr>
        <w:t>00人；全县服务业新引进大专以上学历毕业生1800人。</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黑体_GBK" w:cs="Times New Roman"/>
          <w:b/>
          <w:sz w:val="32"/>
          <w:szCs w:val="32"/>
          <w:highlight w:val="none"/>
        </w:rPr>
      </w:pPr>
      <w:r>
        <w:rPr>
          <w:rFonts w:ascii="Times New Roman" w:hAnsi="Times New Roman" w:eastAsia="方正黑体_GBK" w:cs="Times New Roman"/>
          <w:sz w:val="32"/>
          <w:szCs w:val="32"/>
          <w:highlight w:val="none"/>
        </w:rPr>
        <w:t>四、推进措施</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仿宋_GBK" w:cs="Times New Roman"/>
          <w:sz w:val="32"/>
          <w:szCs w:val="32"/>
          <w:highlight w:val="none"/>
        </w:rPr>
      </w:pPr>
      <w:r>
        <w:rPr>
          <w:rFonts w:hint="eastAsia" w:ascii="Times New Roman" w:hAnsi="Times New Roman" w:eastAsia="方正楷体_GBK" w:cs="Times New Roman"/>
          <w:kern w:val="0"/>
          <w:sz w:val="32"/>
          <w:szCs w:val="32"/>
          <w:highlight w:val="none"/>
        </w:rPr>
        <w:t>（一）</w:t>
      </w:r>
      <w:r>
        <w:rPr>
          <w:rFonts w:ascii="Times New Roman" w:hAnsi="Times New Roman" w:eastAsia="方正楷体_GBK" w:cs="Times New Roman"/>
          <w:kern w:val="0"/>
          <w:sz w:val="32"/>
          <w:szCs w:val="32"/>
          <w:highlight w:val="none"/>
        </w:rPr>
        <w:t>强化组织领导，确保责任落实。</w:t>
      </w:r>
      <w:r>
        <w:rPr>
          <w:rFonts w:ascii="Times New Roman" w:hAnsi="Times New Roman" w:eastAsia="方正仿宋_GBK" w:cs="Times New Roman"/>
          <w:sz w:val="32"/>
          <w:szCs w:val="32"/>
          <w:highlight w:val="none"/>
        </w:rPr>
        <w:t>健全组织体系，完善工作机制，确保各项目标任务落实落地落细。一是充分发挥县现代服务业发展工作领导小组办公室的统筹协调作用，制定并细化年度任务指标，及时研究解决现代服务业发展中的重大问题，协调落实稳定服务业运行</w:t>
      </w:r>
      <w:r>
        <w:rPr>
          <w:rFonts w:hint="eastAsia" w:ascii="Times New Roman" w:hAnsi="Times New Roman" w:eastAsia="方正仿宋_GBK" w:cs="Times New Roman"/>
          <w:sz w:val="32"/>
          <w:szCs w:val="32"/>
          <w:highlight w:val="none"/>
          <w:lang w:eastAsia="zh-CN"/>
        </w:rPr>
        <w:t>的</w:t>
      </w:r>
      <w:r>
        <w:rPr>
          <w:rFonts w:ascii="Times New Roman" w:hAnsi="Times New Roman" w:eastAsia="方正仿宋_GBK" w:cs="Times New Roman"/>
          <w:sz w:val="32"/>
          <w:szCs w:val="32"/>
          <w:highlight w:val="none"/>
        </w:rPr>
        <w:t>各项政策。确定阶段性工作要点，定期召开调度会议，做好跟踪监测工作；二是强化行业主管部门职责，坚定</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管行业就要管发展</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的理念，明确现代服务业重点行业部门发展责任。各责任单位强化日常工作沟通协调，根据职能分工相互配合、协同推进，形成工作合力。</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仿宋_GBK" w:cs="Times New Roman"/>
          <w:sz w:val="32"/>
          <w:szCs w:val="32"/>
          <w:highlight w:val="none"/>
        </w:rPr>
      </w:pPr>
      <w:r>
        <w:rPr>
          <w:rFonts w:hint="eastAsia" w:ascii="Times New Roman" w:hAnsi="Times New Roman" w:eastAsia="方正楷体_GBK" w:cs="Times New Roman"/>
          <w:kern w:val="0"/>
          <w:sz w:val="32"/>
          <w:szCs w:val="32"/>
          <w:highlight w:val="none"/>
        </w:rPr>
        <w:t>（二）</w:t>
      </w:r>
      <w:r>
        <w:rPr>
          <w:rFonts w:ascii="Times New Roman" w:hAnsi="Times New Roman" w:eastAsia="方正楷体_GBK" w:cs="Times New Roman"/>
          <w:kern w:val="0"/>
          <w:sz w:val="32"/>
          <w:szCs w:val="32"/>
          <w:highlight w:val="none"/>
        </w:rPr>
        <w:t>强化监测分析，确保服务保障。</w:t>
      </w:r>
      <w:r>
        <w:rPr>
          <w:rFonts w:ascii="Times New Roman" w:hAnsi="Times New Roman" w:eastAsia="方正仿宋_GBK" w:cs="Times New Roman"/>
          <w:sz w:val="32"/>
          <w:szCs w:val="32"/>
          <w:highlight w:val="none"/>
        </w:rPr>
        <w:t>充分发挥统计对服务业发展情况的监测监督作用，准确反映全县服务业经济运行状况。一是健全完善服务业企业</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升规纳统</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辅导机制，加大对行业主管部门业务培训力度，确保应统尽统并及时监测指标异动；二是完善服务业统计指标体系，做好新产业新业态新模式统计监测工作，开展生产性服务业、特色产业规上营收统计。</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Times New Roman" w:hAnsi="Times New Roman" w:eastAsia="方正仿宋_GBK" w:cs="Times New Roman"/>
          <w:sz w:val="32"/>
          <w:szCs w:val="32"/>
          <w:highlight w:val="none"/>
        </w:rPr>
      </w:pPr>
      <w:r>
        <w:rPr>
          <w:rFonts w:hint="eastAsia" w:ascii="Times New Roman" w:hAnsi="Times New Roman" w:eastAsia="方正楷体_GBK" w:cs="Times New Roman"/>
          <w:kern w:val="0"/>
          <w:sz w:val="32"/>
          <w:szCs w:val="32"/>
          <w:highlight w:val="none"/>
        </w:rPr>
        <w:t>（三）</w:t>
      </w:r>
      <w:r>
        <w:rPr>
          <w:rFonts w:ascii="Times New Roman" w:hAnsi="Times New Roman" w:eastAsia="方正楷体_GBK" w:cs="Times New Roman"/>
          <w:kern w:val="0"/>
          <w:sz w:val="32"/>
          <w:szCs w:val="32"/>
          <w:highlight w:val="none"/>
        </w:rPr>
        <w:t>强化督查考核，确保任务完成。</w:t>
      </w:r>
      <w:r>
        <w:rPr>
          <w:rFonts w:ascii="Times New Roman" w:hAnsi="Times New Roman" w:eastAsia="方正仿宋_GBK" w:cs="Times New Roman"/>
          <w:sz w:val="32"/>
          <w:szCs w:val="32"/>
          <w:highlight w:val="none"/>
        </w:rPr>
        <w:t>建立目标责任考核机制，发挥考核指挥棒作用，汇聚服务业发展工作合力。一是完善考核办法。将现代服务业高质量发展目标分解到各乡镇（街道）、园区、县各相关部门，明确具体考核办法</w:t>
      </w:r>
      <w:r>
        <w:rPr>
          <w:rFonts w:hint="eastAsia" w:ascii="Times New Roman" w:hAnsi="Times New Roman" w:eastAsia="方正仿宋_GBK" w:cs="Times New Roman"/>
          <w:sz w:val="32"/>
          <w:szCs w:val="32"/>
          <w:highlight w:val="none"/>
          <w:lang w:eastAsia="zh-CN"/>
        </w:rPr>
        <w:t>；</w:t>
      </w:r>
      <w:r>
        <w:rPr>
          <w:rFonts w:ascii="Times New Roman" w:hAnsi="Times New Roman" w:eastAsia="方正仿宋_GBK" w:cs="Times New Roman"/>
          <w:sz w:val="32"/>
          <w:szCs w:val="32"/>
          <w:highlight w:val="none"/>
        </w:rPr>
        <w:t>二是强化结果应用。建立现代服务业发展季度通报制度，开展年度服务业考核评价工作，并将考核结果作为高质量发展考核的重要参考，引导相关部门扎实推动各项任务落地落实。</w:t>
      </w:r>
    </w:p>
    <w:p>
      <w:pPr>
        <w:keepNext w:val="0"/>
        <w:keepLines w:val="0"/>
        <w:pageBreakBefore w:val="0"/>
        <w:widowControl w:val="0"/>
        <w:kinsoku/>
        <w:wordWrap/>
        <w:overflowPunct/>
        <w:topLinePunct w:val="0"/>
        <w:autoSpaceDE/>
        <w:autoSpaceDN/>
        <w:bidi w:val="0"/>
        <w:adjustRightInd/>
        <w:spacing w:line="520" w:lineRule="exact"/>
        <w:ind w:firstLine="883"/>
        <w:jc w:val="center"/>
        <w:textAlignment w:val="auto"/>
        <w:rPr>
          <w:rFonts w:ascii="Times New Roman" w:hAnsi="Times New Roman" w:eastAsia="方正小标宋_GBK" w:cs="Times New Roman"/>
          <w:sz w:val="44"/>
          <w:szCs w:val="44"/>
          <w:highlight w:val="none"/>
        </w:rPr>
      </w:pPr>
    </w:p>
    <w:p>
      <w:pPr>
        <w:keepNext w:val="0"/>
        <w:keepLines w:val="0"/>
        <w:pageBreakBefore w:val="0"/>
        <w:widowControl w:val="0"/>
        <w:kinsoku/>
        <w:wordWrap/>
        <w:overflowPunct/>
        <w:topLinePunct w:val="0"/>
        <w:autoSpaceDE/>
        <w:autoSpaceDN/>
        <w:bidi w:val="0"/>
        <w:adjustRightInd/>
        <w:spacing w:line="520" w:lineRule="exact"/>
        <w:ind w:firstLine="640" w:firstLineChars="200"/>
        <w:jc w:val="left"/>
        <w:textAlignment w:val="auto"/>
        <w:rPr>
          <w:rFonts w:ascii="Times New Roman" w:hAnsi="Times New Roman" w:eastAsia="方正仿宋_GBK" w:cs="Times New Roman"/>
          <w:sz w:val="32"/>
          <w:szCs w:val="32"/>
          <w:highlight w:val="none"/>
        </w:rPr>
      </w:pPr>
      <w:r>
        <w:rPr>
          <w:rFonts w:ascii="Times New Roman" w:hAnsi="Times New Roman" w:eastAsia="方正仿宋_GBK" w:cs="Times New Roman"/>
          <w:sz w:val="32"/>
          <w:szCs w:val="32"/>
          <w:highlight w:val="none"/>
        </w:rPr>
        <w:t>附件：1.</w:t>
      </w:r>
      <w:r>
        <w:rPr>
          <w:rFonts w:hint="eastAsia" w:ascii="Times New Roman" w:hAnsi="Times New Roman" w:eastAsia="方正仿宋_GBK" w:cs="Times New Roman"/>
          <w:sz w:val="32"/>
          <w:szCs w:val="32"/>
          <w:highlight w:val="none"/>
          <w:lang w:val="en-US" w:eastAsia="zh-CN"/>
        </w:rPr>
        <w:t xml:space="preserve"> </w:t>
      </w:r>
      <w:r>
        <w:rPr>
          <w:rFonts w:ascii="Times New Roman" w:hAnsi="Times New Roman" w:eastAsia="方正仿宋_GBK" w:cs="Times New Roman"/>
          <w:sz w:val="32"/>
          <w:szCs w:val="32"/>
          <w:highlight w:val="none"/>
        </w:rPr>
        <w:t>泗洪县现代服务业攻坚突破目标任务体系</w:t>
      </w:r>
    </w:p>
    <w:p>
      <w:pPr>
        <w:keepNext w:val="0"/>
        <w:keepLines w:val="0"/>
        <w:pageBreakBefore w:val="0"/>
        <w:widowControl w:val="0"/>
        <w:numPr>
          <w:ilvl w:val="0"/>
          <w:numId w:val="1"/>
        </w:numPr>
        <w:kinsoku/>
        <w:wordWrap/>
        <w:overflowPunct/>
        <w:topLinePunct w:val="0"/>
        <w:autoSpaceDE/>
        <w:autoSpaceDN/>
        <w:bidi w:val="0"/>
        <w:adjustRightInd/>
        <w:spacing w:line="520" w:lineRule="exact"/>
        <w:ind w:firstLine="1600" w:firstLineChars="500"/>
        <w:jc w:val="left"/>
        <w:textAlignment w:val="auto"/>
        <w:rPr>
          <w:rFonts w:ascii="Times New Roman" w:hAnsi="Times New Roman" w:eastAsia="方正仿宋_GBK" w:cs="Times New Roman"/>
          <w:sz w:val="32"/>
          <w:szCs w:val="32"/>
          <w:highlight w:val="none"/>
        </w:rPr>
      </w:pPr>
      <w:r>
        <w:rPr>
          <w:rFonts w:hint="eastAsia" w:ascii="Times New Roman" w:hAnsi="Times New Roman" w:eastAsia="方正仿宋_GBK" w:cs="Times New Roman"/>
          <w:sz w:val="32"/>
          <w:szCs w:val="32"/>
          <w:highlight w:val="none"/>
        </w:rPr>
        <w:t>2024年泗洪县现代服务业</w:t>
      </w:r>
      <w:r>
        <w:rPr>
          <w:rFonts w:hint="eastAsia" w:ascii="Times New Roman" w:hAnsi="Times New Roman" w:eastAsia="方正仿宋_GBK" w:cs="Times New Roman"/>
          <w:sz w:val="32"/>
          <w:szCs w:val="32"/>
          <w:highlight w:val="none"/>
          <w:lang w:eastAsia="zh-CN"/>
        </w:rPr>
        <w:t>重点</w:t>
      </w:r>
      <w:r>
        <w:rPr>
          <w:rFonts w:hint="eastAsia" w:ascii="Times New Roman" w:hAnsi="Times New Roman" w:eastAsia="方正仿宋_GBK" w:cs="Times New Roman"/>
          <w:sz w:val="32"/>
          <w:szCs w:val="32"/>
          <w:highlight w:val="none"/>
        </w:rPr>
        <w:t>项目一览表</w:t>
      </w:r>
    </w:p>
    <w:p>
      <w:pPr>
        <w:spacing w:line="580" w:lineRule="exact"/>
        <w:rPr>
          <w:rFonts w:ascii="Times New Roman" w:hAnsi="Times New Roman" w:cs="Times New Roman"/>
          <w:highlight w:val="none"/>
        </w:rPr>
      </w:pPr>
      <w:r>
        <w:rPr>
          <w:rFonts w:ascii="Times New Roman" w:hAnsi="Times New Roman" w:cs="Times New Roman"/>
          <w:highlight w:val="none"/>
        </w:rPr>
        <w:br w:type="page"/>
      </w:r>
    </w:p>
    <w:p>
      <w:pPr>
        <w:ind w:firstLine="640"/>
        <w:rPr>
          <w:rFonts w:ascii="Times New Roman" w:hAnsi="Times New Roman" w:eastAsia="黑体" w:cs="Times New Roman"/>
          <w:sz w:val="32"/>
          <w:szCs w:val="32"/>
          <w:highlight w:val="none"/>
        </w:rPr>
        <w:sectPr>
          <w:pgSz w:w="11906" w:h="16838"/>
          <w:pgMar w:top="2041" w:right="1531" w:bottom="2041" w:left="1531" w:header="850" w:footer="1474" w:gutter="0"/>
          <w:paperSrc/>
          <w:pgNumType w:fmt="decimal"/>
          <w:cols w:space="0" w:num="1"/>
          <w:rtlGutter w:val="0"/>
          <w:docGrid w:type="lines" w:linePitch="349" w:charSpace="0"/>
        </w:sectPr>
      </w:pPr>
    </w:p>
    <w:p>
      <w:pPr>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附件1</w:t>
      </w:r>
    </w:p>
    <w:p>
      <w:pPr>
        <w:spacing w:line="700" w:lineRule="exact"/>
        <w:jc w:val="center"/>
        <w:rPr>
          <w:rFonts w:ascii="Times New Roman" w:hAnsi="Times New Roman" w:eastAsia="方正小标宋_GBK" w:cs="Times New Roman"/>
          <w:sz w:val="44"/>
          <w:szCs w:val="44"/>
          <w:highlight w:val="none"/>
        </w:rPr>
      </w:pPr>
      <w:r>
        <w:rPr>
          <w:rFonts w:ascii="Times New Roman" w:hAnsi="Times New Roman" w:eastAsia="方正小标宋_GBK" w:cs="Times New Roman"/>
          <w:sz w:val="44"/>
          <w:szCs w:val="44"/>
          <w:highlight w:val="none"/>
        </w:rPr>
        <w:t>泗洪县现代服务业攻坚突破目标任务体系</w:t>
      </w:r>
    </w:p>
    <w:p>
      <w:pPr>
        <w:pStyle w:val="8"/>
        <w:spacing w:line="400" w:lineRule="exact"/>
        <w:ind w:left="629" w:firstLine="646"/>
        <w:rPr>
          <w:rFonts w:ascii="Times New Roman" w:hAnsi="Times New Roman" w:cs="Times New Roman"/>
          <w:highlight w:val="none"/>
        </w:rPr>
      </w:pPr>
    </w:p>
    <w:tbl>
      <w:tblPr>
        <w:tblStyle w:val="14"/>
        <w:tblW w:w="9499" w:type="dxa"/>
        <w:jc w:val="center"/>
        <w:tblLayout w:type="fixed"/>
        <w:tblCellMar>
          <w:top w:w="0" w:type="dxa"/>
          <w:left w:w="108" w:type="dxa"/>
          <w:bottom w:w="0" w:type="dxa"/>
          <w:right w:w="108" w:type="dxa"/>
        </w:tblCellMar>
      </w:tblPr>
      <w:tblGrid>
        <w:gridCol w:w="573"/>
        <w:gridCol w:w="483"/>
        <w:gridCol w:w="924"/>
        <w:gridCol w:w="3109"/>
        <w:gridCol w:w="1012"/>
        <w:gridCol w:w="997"/>
        <w:gridCol w:w="1441"/>
        <w:gridCol w:w="960"/>
      </w:tblGrid>
      <w:tr>
        <w:tblPrEx>
          <w:tblCellMar>
            <w:top w:w="0" w:type="dxa"/>
            <w:left w:w="108" w:type="dxa"/>
            <w:bottom w:w="0" w:type="dxa"/>
            <w:right w:w="108" w:type="dxa"/>
          </w:tblCellMar>
        </w:tblPrEx>
        <w:trPr>
          <w:trHeight w:val="600" w:hRule="exac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黑体_GBK" w:cs="Times New Roman"/>
                <w:bCs/>
                <w:szCs w:val="21"/>
                <w:highlight w:val="none"/>
              </w:rPr>
            </w:pPr>
            <w:r>
              <w:rPr>
                <w:rFonts w:hint="default" w:ascii="Times New Roman" w:hAnsi="Times New Roman" w:eastAsia="方正黑体_GBK" w:cs="Times New Roman"/>
                <w:bCs/>
                <w:szCs w:val="21"/>
                <w:highlight w:val="none"/>
              </w:rPr>
              <w:t>类别</w:t>
            </w:r>
          </w:p>
        </w:tc>
        <w:tc>
          <w:tcPr>
            <w:tcW w:w="48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黑体_GBK" w:cs="Times New Roman"/>
                <w:bCs/>
                <w:szCs w:val="21"/>
                <w:highlight w:val="none"/>
              </w:rPr>
            </w:pPr>
            <w:r>
              <w:rPr>
                <w:rFonts w:hint="default" w:ascii="Times New Roman" w:hAnsi="Times New Roman" w:eastAsia="方正黑体_GBK" w:cs="Times New Roman"/>
                <w:bCs/>
                <w:szCs w:val="21"/>
                <w:highlight w:val="none"/>
              </w:rPr>
              <w:t>序号</w:t>
            </w:r>
          </w:p>
        </w:tc>
        <w:tc>
          <w:tcPr>
            <w:tcW w:w="40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黑体_GBK" w:cs="Times New Roman"/>
                <w:bCs/>
                <w:szCs w:val="21"/>
                <w:highlight w:val="none"/>
              </w:rPr>
            </w:pPr>
            <w:r>
              <w:rPr>
                <w:rFonts w:hint="default" w:ascii="Times New Roman" w:hAnsi="Times New Roman" w:eastAsia="方正黑体_GBK" w:cs="Times New Roman"/>
                <w:bCs/>
                <w:kern w:val="0"/>
                <w:szCs w:val="21"/>
                <w:highlight w:val="none"/>
              </w:rPr>
              <w:t>指标名称</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黑体_GBK" w:cs="Times New Roman"/>
                <w:bCs/>
                <w:kern w:val="0"/>
                <w:szCs w:val="21"/>
                <w:highlight w:val="none"/>
              </w:rPr>
            </w:pPr>
            <w:r>
              <w:rPr>
                <w:rFonts w:hint="default" w:ascii="Times New Roman" w:hAnsi="Times New Roman" w:eastAsia="方正黑体_GBK" w:cs="Times New Roman"/>
                <w:bCs/>
                <w:kern w:val="0"/>
                <w:szCs w:val="21"/>
                <w:highlight w:val="none"/>
              </w:rPr>
              <w:t>目标</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黑体_GBK" w:cs="Times New Roman"/>
                <w:bCs/>
                <w:szCs w:val="21"/>
                <w:highlight w:val="none"/>
              </w:rPr>
            </w:pPr>
            <w:r>
              <w:rPr>
                <w:rFonts w:hint="default" w:ascii="Times New Roman" w:hAnsi="Times New Roman" w:eastAsia="方正黑体_GBK" w:cs="Times New Roman"/>
                <w:bCs/>
                <w:kern w:val="0"/>
                <w:szCs w:val="21"/>
                <w:highlight w:val="none"/>
              </w:rPr>
              <w:t>任务</w:t>
            </w:r>
          </w:p>
        </w:tc>
        <w:tc>
          <w:tcPr>
            <w:tcW w:w="997"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黑体_GBK" w:cs="Times New Roman"/>
                <w:bCs/>
                <w:kern w:val="0"/>
                <w:szCs w:val="21"/>
                <w:highlight w:val="none"/>
              </w:rPr>
            </w:pPr>
            <w:r>
              <w:rPr>
                <w:rFonts w:hint="default" w:ascii="Times New Roman" w:hAnsi="Times New Roman" w:eastAsia="方正黑体_GBK" w:cs="Times New Roman"/>
                <w:bCs/>
                <w:kern w:val="0"/>
                <w:szCs w:val="21"/>
                <w:highlight w:val="none"/>
              </w:rPr>
              <w:t>考核部门</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黑体_GBK" w:cs="Times New Roman"/>
                <w:bCs/>
                <w:kern w:val="0"/>
                <w:szCs w:val="21"/>
                <w:highlight w:val="none"/>
              </w:rPr>
            </w:pPr>
            <w:r>
              <w:rPr>
                <w:rFonts w:hint="default" w:ascii="Times New Roman" w:hAnsi="Times New Roman" w:eastAsia="方正黑体_GBK" w:cs="Times New Roman"/>
                <w:bCs/>
                <w:kern w:val="0"/>
                <w:szCs w:val="21"/>
                <w:highlight w:val="none"/>
              </w:rPr>
              <w:t>责任部门</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黑体_GBK" w:cs="Times New Roman"/>
                <w:bCs/>
                <w:szCs w:val="21"/>
                <w:highlight w:val="none"/>
              </w:rPr>
            </w:pPr>
            <w:r>
              <w:rPr>
                <w:rFonts w:hint="default" w:ascii="Times New Roman" w:hAnsi="Times New Roman" w:eastAsia="方正黑体_GBK" w:cs="Times New Roman"/>
                <w:bCs/>
                <w:kern w:val="0"/>
                <w:szCs w:val="21"/>
                <w:highlight w:val="none"/>
              </w:rPr>
              <w:t>数据来源</w:t>
            </w:r>
          </w:p>
        </w:tc>
      </w:tr>
      <w:tr>
        <w:tblPrEx>
          <w:tblCellMar>
            <w:top w:w="0" w:type="dxa"/>
            <w:left w:w="108" w:type="dxa"/>
            <w:bottom w:w="0" w:type="dxa"/>
            <w:right w:w="108" w:type="dxa"/>
          </w:tblCellMar>
        </w:tblPrEx>
        <w:trPr>
          <w:trHeight w:val="481" w:hRule="exact"/>
          <w:jc w:val="center"/>
        </w:trPr>
        <w:tc>
          <w:tcPr>
            <w:tcW w:w="573" w:type="dxa"/>
            <w:vMerge w:val="restart"/>
            <w:tcBorders>
              <w:top w:val="single" w:color="000000" w:sz="4" w:space="0"/>
              <w:left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综合绩效指标</w:t>
            </w:r>
          </w:p>
        </w:tc>
        <w:tc>
          <w:tcPr>
            <w:tcW w:w="4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1</w:t>
            </w:r>
          </w:p>
        </w:tc>
        <w:tc>
          <w:tcPr>
            <w:tcW w:w="403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eastAsia" w:ascii="Times New Roman" w:hAnsi="Times New Roman" w:eastAsia="方正仿宋_GBK" w:cs="Times New Roman"/>
                <w:szCs w:val="21"/>
                <w:highlight w:val="none"/>
                <w:lang w:eastAsia="zh-CN"/>
              </w:rPr>
            </w:pPr>
            <w:r>
              <w:rPr>
                <w:rFonts w:hint="default" w:ascii="Times New Roman" w:hAnsi="Times New Roman" w:eastAsia="方正仿宋_GBK" w:cs="Times New Roman"/>
                <w:kern w:val="0"/>
                <w:szCs w:val="21"/>
                <w:highlight w:val="none"/>
              </w:rPr>
              <w:t>服务业增加值增速</w:t>
            </w:r>
            <w:r>
              <w:rPr>
                <w:rFonts w:hint="eastAsia" w:ascii="Times New Roman" w:hAnsi="Times New Roman" w:eastAsia="方正仿宋_GBK" w:cs="Times New Roman"/>
                <w:kern w:val="0"/>
                <w:szCs w:val="21"/>
                <w:highlight w:val="none"/>
                <w:lang w:eastAsia="zh-CN"/>
              </w:rPr>
              <w:t>（</w:t>
            </w:r>
            <w:r>
              <w:rPr>
                <w:rFonts w:hint="eastAsia" w:ascii="Times New Roman" w:hAnsi="Times New Roman" w:eastAsia="方正仿宋_GBK" w:cs="Times New Roman"/>
                <w:kern w:val="0"/>
                <w:szCs w:val="21"/>
                <w:highlight w:val="none"/>
                <w:lang w:val="en-US" w:eastAsia="zh-CN"/>
              </w:rPr>
              <w:t>%</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7.5</w:t>
            </w:r>
          </w:p>
        </w:tc>
        <w:tc>
          <w:tcPr>
            <w:tcW w:w="997" w:type="dxa"/>
            <w:tcBorders>
              <w:top w:val="single" w:color="000000" w:sz="4" w:space="0"/>
              <w:left w:val="single" w:color="000000" w:sz="4" w:space="0"/>
              <w:bottom w:val="single" w:color="000000" w:sz="4" w:space="0"/>
              <w:right w:val="single" w:color="000000" w:sz="4" w:space="0"/>
            </w:tcBorders>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bCs/>
                <w:kern w:val="0"/>
                <w:szCs w:val="21"/>
                <w:highlight w:val="none"/>
              </w:rPr>
            </w:pPr>
            <w:r>
              <w:rPr>
                <w:rFonts w:hint="default" w:ascii="Times New Roman" w:hAnsi="Times New Roman" w:eastAsia="方正仿宋_GBK" w:cs="Times New Roman"/>
                <w:kern w:val="0"/>
                <w:szCs w:val="21"/>
                <w:highlight w:val="none"/>
              </w:rPr>
              <w:t>县发改局</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园区</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县统计局</w:t>
            </w: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4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2</w:t>
            </w:r>
          </w:p>
        </w:tc>
        <w:tc>
          <w:tcPr>
            <w:tcW w:w="403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服务业税收增速</w:t>
            </w:r>
            <w:r>
              <w:rPr>
                <w:rFonts w:hint="eastAsia" w:ascii="Times New Roman" w:hAnsi="Times New Roman" w:eastAsia="方正仿宋_GBK" w:cs="Times New Roman"/>
                <w:kern w:val="0"/>
                <w:szCs w:val="21"/>
                <w:highlight w:val="none"/>
                <w:lang w:eastAsia="zh-CN"/>
              </w:rPr>
              <w:t>（</w:t>
            </w:r>
            <w:r>
              <w:rPr>
                <w:rFonts w:hint="eastAsia" w:ascii="Times New Roman" w:hAnsi="Times New Roman" w:eastAsia="方正仿宋_GBK" w:cs="Times New Roman"/>
                <w:kern w:val="0"/>
                <w:szCs w:val="21"/>
                <w:highlight w:val="none"/>
                <w:lang w:val="en-US" w:eastAsia="zh-CN"/>
              </w:rPr>
              <w:t>%</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20</w:t>
            </w:r>
          </w:p>
        </w:tc>
        <w:tc>
          <w:tcPr>
            <w:tcW w:w="9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县发改局</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园区</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县税务局</w:t>
            </w: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4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3</w:t>
            </w:r>
          </w:p>
        </w:tc>
        <w:tc>
          <w:tcPr>
            <w:tcW w:w="4033"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服务业固定资产投资增速</w:t>
            </w:r>
            <w:r>
              <w:rPr>
                <w:rFonts w:hint="eastAsia" w:ascii="Times New Roman" w:hAnsi="Times New Roman" w:eastAsia="方正仿宋_GBK" w:cs="Times New Roman"/>
                <w:kern w:val="0"/>
                <w:szCs w:val="21"/>
                <w:highlight w:val="none"/>
                <w:lang w:eastAsia="zh-CN"/>
              </w:rPr>
              <w:t>（</w:t>
            </w:r>
            <w:r>
              <w:rPr>
                <w:rFonts w:hint="eastAsia" w:ascii="Times New Roman" w:hAnsi="Times New Roman" w:eastAsia="方正仿宋_GBK" w:cs="Times New Roman"/>
                <w:kern w:val="0"/>
                <w:szCs w:val="21"/>
                <w:highlight w:val="none"/>
                <w:lang w:val="en-US" w:eastAsia="zh-CN"/>
              </w:rPr>
              <w:t>%</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7</w:t>
            </w:r>
          </w:p>
        </w:tc>
        <w:tc>
          <w:tcPr>
            <w:tcW w:w="9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县发改局</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园区</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县统计局</w:t>
            </w: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483" w:type="dxa"/>
            <w:vMerge w:val="restart"/>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4</w:t>
            </w:r>
          </w:p>
        </w:tc>
        <w:tc>
          <w:tcPr>
            <w:tcW w:w="924" w:type="dxa"/>
            <w:vMerge w:val="restart"/>
            <w:tcBorders>
              <w:top w:val="single" w:color="000000" w:sz="4" w:space="0"/>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规上服务业营收</w:t>
            </w:r>
          </w:p>
        </w:tc>
        <w:tc>
          <w:tcPr>
            <w:tcW w:w="3109"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服务业营收增速</w:t>
            </w:r>
            <w:r>
              <w:rPr>
                <w:rFonts w:hint="eastAsia" w:ascii="Times New Roman" w:hAnsi="Times New Roman" w:eastAsia="方正仿宋_GBK" w:cs="Times New Roman"/>
                <w:kern w:val="0"/>
                <w:szCs w:val="21"/>
                <w:highlight w:val="none"/>
                <w:lang w:eastAsia="zh-CN"/>
              </w:rPr>
              <w:t>（</w:t>
            </w:r>
            <w:r>
              <w:rPr>
                <w:rFonts w:hint="eastAsia" w:ascii="Times New Roman" w:hAnsi="Times New Roman" w:eastAsia="方正仿宋_GBK" w:cs="Times New Roman"/>
                <w:kern w:val="0"/>
                <w:szCs w:val="21"/>
                <w:highlight w:val="none"/>
                <w:lang w:val="en-US" w:eastAsia="zh-CN"/>
              </w:rPr>
              <w:t>%</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27</w:t>
            </w:r>
          </w:p>
        </w:tc>
        <w:tc>
          <w:tcPr>
            <w:tcW w:w="997" w:type="dxa"/>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p>
        </w:tc>
        <w:tc>
          <w:tcPr>
            <w:tcW w:w="144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p>
            <w:pPr>
              <w:keepNext w:val="0"/>
              <w:keepLines w:val="0"/>
              <w:widowControl/>
              <w:suppressLineNumbers w:val="0"/>
              <w:spacing w:before="0" w:beforeAutospacing="0" w:after="0" w:afterAutospacing="0" w:line="240" w:lineRule="exact"/>
              <w:ind w:left="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园区</w:t>
            </w:r>
          </w:p>
        </w:tc>
        <w:tc>
          <w:tcPr>
            <w:tcW w:w="96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县统计局</w:t>
            </w: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483"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924"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p>
        </w:tc>
        <w:tc>
          <w:tcPr>
            <w:tcW w:w="3109"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生产性服务业营收增速</w:t>
            </w:r>
            <w:r>
              <w:rPr>
                <w:rFonts w:hint="eastAsia" w:ascii="Times New Roman" w:hAnsi="Times New Roman" w:eastAsia="方正仿宋_GBK" w:cs="Times New Roman"/>
                <w:kern w:val="0"/>
                <w:szCs w:val="21"/>
                <w:highlight w:val="none"/>
                <w:lang w:eastAsia="zh-CN"/>
              </w:rPr>
              <w:t>（</w:t>
            </w:r>
            <w:r>
              <w:rPr>
                <w:rFonts w:hint="eastAsia" w:ascii="Times New Roman" w:hAnsi="Times New Roman" w:eastAsia="方正仿宋_GBK" w:cs="Times New Roman"/>
                <w:kern w:val="0"/>
                <w:szCs w:val="21"/>
                <w:highlight w:val="none"/>
                <w:lang w:val="en-US" w:eastAsia="zh-CN"/>
              </w:rPr>
              <w:t>%</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28</w:t>
            </w:r>
          </w:p>
        </w:tc>
        <w:tc>
          <w:tcPr>
            <w:tcW w:w="997" w:type="dxa"/>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县发改局</w:t>
            </w:r>
          </w:p>
        </w:tc>
        <w:tc>
          <w:tcPr>
            <w:tcW w:w="1441"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p>
        </w:tc>
        <w:tc>
          <w:tcPr>
            <w:tcW w:w="96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0" w:right="-84" w:rightChars="-40"/>
              <w:jc w:val="center"/>
              <w:rPr>
                <w:rFonts w:hint="default" w:ascii="Times New Roman" w:hAnsi="Times New Roman" w:eastAsia="方正仿宋_GBK" w:cs="Times New Roman"/>
                <w:szCs w:val="21"/>
                <w:highlight w:val="none"/>
              </w:rPr>
            </w:pPr>
          </w:p>
        </w:tc>
        <w:tc>
          <w:tcPr>
            <w:tcW w:w="483"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924"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p>
        </w:tc>
        <w:tc>
          <w:tcPr>
            <w:tcW w:w="3109"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特色产业营收增速</w:t>
            </w:r>
            <w:r>
              <w:rPr>
                <w:rFonts w:hint="eastAsia" w:ascii="Times New Roman" w:hAnsi="Times New Roman" w:eastAsia="方正仿宋_GBK" w:cs="Times New Roman"/>
                <w:kern w:val="0"/>
                <w:szCs w:val="21"/>
                <w:highlight w:val="none"/>
                <w:lang w:eastAsia="zh-CN"/>
              </w:rPr>
              <w:t>（</w:t>
            </w:r>
            <w:r>
              <w:rPr>
                <w:rFonts w:hint="eastAsia" w:ascii="Times New Roman" w:hAnsi="Times New Roman" w:eastAsia="方正仿宋_GBK" w:cs="Times New Roman"/>
                <w:kern w:val="0"/>
                <w:szCs w:val="21"/>
                <w:highlight w:val="none"/>
                <w:lang w:val="en-US" w:eastAsia="zh-CN"/>
              </w:rPr>
              <w:t>%</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30</w:t>
            </w:r>
          </w:p>
        </w:tc>
        <w:tc>
          <w:tcPr>
            <w:tcW w:w="997" w:type="dxa"/>
            <w:tcBorders>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p>
        </w:tc>
        <w:tc>
          <w:tcPr>
            <w:tcW w:w="144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p>
        </w:tc>
        <w:tc>
          <w:tcPr>
            <w:tcW w:w="96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p>
        </w:tc>
        <w:tc>
          <w:tcPr>
            <w:tcW w:w="483" w:type="dxa"/>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5</w:t>
            </w:r>
          </w:p>
        </w:tc>
        <w:tc>
          <w:tcPr>
            <w:tcW w:w="4033" w:type="dxa"/>
            <w:gridSpan w:val="2"/>
            <w:tcBorders>
              <w:top w:val="single" w:color="000000" w:sz="4" w:space="0"/>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社会消费品零售总额增速</w:t>
            </w:r>
            <w:r>
              <w:rPr>
                <w:rFonts w:hint="eastAsia" w:ascii="Times New Roman" w:hAnsi="Times New Roman" w:eastAsia="方正仿宋_GBK" w:cs="Times New Roman"/>
                <w:kern w:val="0"/>
                <w:szCs w:val="21"/>
                <w:highlight w:val="none"/>
                <w:lang w:eastAsia="zh-CN"/>
              </w:rPr>
              <w:t>（</w:t>
            </w:r>
            <w:r>
              <w:rPr>
                <w:rFonts w:hint="eastAsia" w:ascii="Times New Roman" w:hAnsi="Times New Roman" w:eastAsia="方正仿宋_GBK" w:cs="Times New Roman"/>
                <w:kern w:val="0"/>
                <w:szCs w:val="21"/>
                <w:highlight w:val="none"/>
                <w:lang w:val="en-US" w:eastAsia="zh-CN"/>
              </w:rPr>
              <w:t>%</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9</w:t>
            </w:r>
          </w:p>
        </w:tc>
        <w:tc>
          <w:tcPr>
            <w:tcW w:w="997" w:type="dxa"/>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县商务局</w:t>
            </w:r>
          </w:p>
        </w:tc>
        <w:tc>
          <w:tcPr>
            <w:tcW w:w="144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tc>
        <w:tc>
          <w:tcPr>
            <w:tcW w:w="96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县统计局</w:t>
            </w:r>
          </w:p>
        </w:tc>
      </w:tr>
      <w:tr>
        <w:tblPrEx>
          <w:tblCellMar>
            <w:top w:w="0" w:type="dxa"/>
            <w:left w:w="108" w:type="dxa"/>
            <w:bottom w:w="0" w:type="dxa"/>
            <w:right w:w="108" w:type="dxa"/>
          </w:tblCellMar>
        </w:tblPrEx>
        <w:trPr>
          <w:trHeight w:val="759" w:hRule="exact"/>
          <w:jc w:val="center"/>
        </w:trPr>
        <w:tc>
          <w:tcPr>
            <w:tcW w:w="573" w:type="dxa"/>
            <w:vMerge w:val="restart"/>
            <w:tcBorders>
              <w:top w:val="single" w:color="000000" w:sz="4" w:space="0"/>
              <w:left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增量培育指标</w:t>
            </w:r>
          </w:p>
        </w:tc>
        <w:tc>
          <w:tcPr>
            <w:tcW w:w="483" w:type="dxa"/>
            <w:vMerge w:val="restart"/>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6</w:t>
            </w:r>
          </w:p>
        </w:tc>
        <w:tc>
          <w:tcPr>
            <w:tcW w:w="924" w:type="dxa"/>
            <w:vMerge w:val="restart"/>
            <w:tcBorders>
              <w:top w:val="single" w:color="000000" w:sz="4" w:space="0"/>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lang w:eastAsia="zh-CN"/>
              </w:rPr>
            </w:pPr>
            <w:r>
              <w:rPr>
                <w:rFonts w:hint="default" w:ascii="Times New Roman" w:hAnsi="Times New Roman" w:eastAsia="方正仿宋_GBK" w:cs="Times New Roman"/>
                <w:kern w:val="0"/>
                <w:szCs w:val="21"/>
                <w:highlight w:val="none"/>
              </w:rPr>
              <w:t>主体培育</w:t>
            </w:r>
          </w:p>
        </w:tc>
        <w:tc>
          <w:tcPr>
            <w:tcW w:w="3109" w:type="dxa"/>
            <w:vMerge w:val="restart"/>
            <w:tcBorders>
              <w:top w:val="single" w:color="000000" w:sz="4" w:space="0"/>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准</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规</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限</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上</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企业入库数量</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个</w:t>
            </w:r>
            <w:r>
              <w:rPr>
                <w:rFonts w:hint="eastAsia" w:ascii="Times New Roman" w:hAnsi="Times New Roman" w:eastAsia="方正仿宋_GBK" w:cs="Times New Roman"/>
                <w:kern w:val="0"/>
                <w:szCs w:val="21"/>
                <w:highlight w:val="none"/>
                <w:lang w:eastAsia="zh-CN"/>
              </w:rPr>
              <w:t>）</w:t>
            </w:r>
          </w:p>
        </w:tc>
        <w:tc>
          <w:tcPr>
            <w:tcW w:w="10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100</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lang w:val="en-US" w:eastAsia="zh-CN"/>
              </w:rPr>
              <w:t>140</w:t>
            </w:r>
            <w:r>
              <w:rPr>
                <w:rFonts w:hint="default" w:ascii="Times New Roman" w:hAnsi="Times New Roman" w:eastAsia="方正仿宋_GBK" w:cs="Times New Roman"/>
                <w:kern w:val="0"/>
                <w:szCs w:val="21"/>
                <w:highlight w:val="none"/>
                <w:lang w:eastAsia="zh-CN"/>
              </w:rPr>
              <w:t>）</w:t>
            </w:r>
          </w:p>
        </w:tc>
        <w:tc>
          <w:tcPr>
            <w:tcW w:w="997" w:type="dxa"/>
            <w:vMerge w:val="restart"/>
            <w:tcBorders>
              <w:top w:val="single" w:color="000000" w:sz="4" w:space="0"/>
              <w:left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县发改局</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县商务局</w:t>
            </w:r>
          </w:p>
        </w:tc>
        <w:tc>
          <w:tcPr>
            <w:tcW w:w="144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园区</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县直单位</w:t>
            </w:r>
          </w:p>
        </w:tc>
        <w:tc>
          <w:tcPr>
            <w:tcW w:w="96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县税务局  县统计局</w:t>
            </w:r>
          </w:p>
        </w:tc>
      </w:tr>
      <w:tr>
        <w:tblPrEx>
          <w:tblCellMar>
            <w:top w:w="0" w:type="dxa"/>
            <w:left w:w="108" w:type="dxa"/>
            <w:bottom w:w="0" w:type="dxa"/>
            <w:right w:w="108" w:type="dxa"/>
          </w:tblCellMar>
        </w:tblPrEx>
        <w:trPr>
          <w:trHeight w:val="33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p>
        </w:tc>
        <w:tc>
          <w:tcPr>
            <w:tcW w:w="483"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924"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p>
        </w:tc>
        <w:tc>
          <w:tcPr>
            <w:tcW w:w="3109"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p>
        </w:tc>
        <w:tc>
          <w:tcPr>
            <w:tcW w:w="1012"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p>
        </w:tc>
        <w:tc>
          <w:tcPr>
            <w:tcW w:w="997" w:type="dxa"/>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p>
        </w:tc>
        <w:tc>
          <w:tcPr>
            <w:tcW w:w="144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园区</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县直单位</w:t>
            </w:r>
          </w:p>
        </w:tc>
        <w:tc>
          <w:tcPr>
            <w:tcW w:w="96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县统计局</w:t>
            </w:r>
          </w:p>
        </w:tc>
      </w:tr>
      <w:tr>
        <w:tblPrEx>
          <w:tblCellMar>
            <w:top w:w="0" w:type="dxa"/>
            <w:left w:w="108" w:type="dxa"/>
            <w:bottom w:w="0" w:type="dxa"/>
            <w:right w:w="108" w:type="dxa"/>
          </w:tblCellMar>
        </w:tblPrEx>
        <w:trPr>
          <w:trHeight w:val="60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924"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p>
        </w:tc>
        <w:tc>
          <w:tcPr>
            <w:tcW w:w="3109"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b/>
                <w:bCs/>
                <w:kern w:val="0"/>
                <w:szCs w:val="21"/>
                <w:highlight w:val="none"/>
              </w:rPr>
            </w:pPr>
            <w:r>
              <w:rPr>
                <w:rFonts w:hint="default" w:ascii="Times New Roman" w:hAnsi="Times New Roman" w:eastAsia="方正仿宋_GBK" w:cs="Times New Roman"/>
                <w:kern w:val="0"/>
                <w:szCs w:val="21"/>
                <w:highlight w:val="none"/>
              </w:rPr>
              <w:t>新增</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规</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限</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上</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入规企业数量</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个</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60</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lang w:val="en-US" w:eastAsia="zh-CN"/>
              </w:rPr>
              <w:t>90</w:t>
            </w:r>
            <w:r>
              <w:rPr>
                <w:rFonts w:hint="eastAsia" w:ascii="Times New Roman" w:hAnsi="Times New Roman" w:eastAsia="方正仿宋_GBK" w:cs="Times New Roman"/>
                <w:kern w:val="0"/>
                <w:szCs w:val="21"/>
                <w:highlight w:val="none"/>
                <w:lang w:eastAsia="zh-CN"/>
              </w:rPr>
              <w:t>）</w:t>
            </w:r>
          </w:p>
        </w:tc>
        <w:tc>
          <w:tcPr>
            <w:tcW w:w="997" w:type="dxa"/>
            <w:vMerge w:val="continue"/>
            <w:tcBorders>
              <w:left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p>
        </w:tc>
        <w:tc>
          <w:tcPr>
            <w:tcW w:w="1441"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p>
        </w:tc>
        <w:tc>
          <w:tcPr>
            <w:tcW w:w="960"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p>
        </w:tc>
      </w:tr>
      <w:tr>
        <w:tblPrEx>
          <w:tblCellMar>
            <w:top w:w="0" w:type="dxa"/>
            <w:left w:w="108" w:type="dxa"/>
            <w:bottom w:w="0" w:type="dxa"/>
            <w:right w:w="108" w:type="dxa"/>
          </w:tblCellMar>
        </w:tblPrEx>
        <w:trPr>
          <w:trHeight w:val="786"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924" w:type="dxa"/>
            <w:vMerge w:val="continue"/>
            <w:tcBorders>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p>
        </w:tc>
        <w:tc>
          <w:tcPr>
            <w:tcW w:w="3109"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净增</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规</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限</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上</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企业数量</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个</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40</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lang w:val="en-US" w:eastAsia="zh-CN"/>
              </w:rPr>
              <w:t>70</w:t>
            </w:r>
            <w:r>
              <w:rPr>
                <w:rFonts w:hint="eastAsia" w:ascii="Times New Roman" w:hAnsi="Times New Roman" w:eastAsia="方正仿宋_GBK" w:cs="Times New Roman"/>
                <w:kern w:val="0"/>
                <w:szCs w:val="21"/>
                <w:highlight w:val="none"/>
                <w:lang w:eastAsia="zh-CN"/>
              </w:rPr>
              <w:t>）</w:t>
            </w:r>
          </w:p>
        </w:tc>
        <w:tc>
          <w:tcPr>
            <w:tcW w:w="997" w:type="dxa"/>
            <w:vMerge w:val="continue"/>
            <w:tcBorders>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p>
        </w:tc>
        <w:tc>
          <w:tcPr>
            <w:tcW w:w="1441" w:type="dxa"/>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园区</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县直单位</w:t>
            </w:r>
          </w:p>
        </w:tc>
        <w:tc>
          <w:tcPr>
            <w:tcW w:w="960" w:type="dxa"/>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县统计局</w:t>
            </w:r>
          </w:p>
        </w:tc>
      </w:tr>
      <w:tr>
        <w:tblPrEx>
          <w:tblCellMar>
            <w:top w:w="0" w:type="dxa"/>
            <w:left w:w="108" w:type="dxa"/>
            <w:bottom w:w="0" w:type="dxa"/>
            <w:right w:w="108" w:type="dxa"/>
          </w:tblCellMar>
        </w:tblPrEx>
        <w:trPr>
          <w:trHeight w:val="729"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restart"/>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7</w:t>
            </w:r>
          </w:p>
        </w:tc>
        <w:tc>
          <w:tcPr>
            <w:tcW w:w="924"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龙头引育</w:t>
            </w:r>
          </w:p>
        </w:tc>
        <w:tc>
          <w:tcPr>
            <w:tcW w:w="31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新增营收超亿元（10亿）企业数量</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个</w:t>
            </w:r>
            <w:r>
              <w:rPr>
                <w:rFonts w:hint="eastAsia" w:ascii="Times New Roman" w:hAnsi="Times New Roman" w:eastAsia="方正仿宋_GBK" w:cs="Times New Roman"/>
                <w:kern w:val="0"/>
                <w:szCs w:val="21"/>
                <w:highlight w:val="none"/>
                <w:lang w:eastAsia="zh-CN"/>
              </w:rPr>
              <w:t>）</w:t>
            </w:r>
          </w:p>
        </w:tc>
        <w:tc>
          <w:tcPr>
            <w:tcW w:w="10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20</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2</w:t>
            </w:r>
            <w:r>
              <w:rPr>
                <w:rFonts w:hint="eastAsia" w:ascii="Times New Roman" w:hAnsi="Times New Roman" w:eastAsia="方正仿宋_GBK" w:cs="Times New Roman"/>
                <w:kern w:val="0"/>
                <w:szCs w:val="21"/>
                <w:highlight w:val="none"/>
                <w:lang w:eastAsia="zh-CN"/>
              </w:rPr>
              <w:t>）</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县商务局</w:t>
            </w:r>
          </w:p>
        </w:tc>
        <w:tc>
          <w:tcPr>
            <w:tcW w:w="14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园区</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县直单位</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县统计局</w:t>
            </w:r>
          </w:p>
        </w:tc>
      </w:tr>
      <w:tr>
        <w:tblPrEx>
          <w:tblCellMar>
            <w:top w:w="0" w:type="dxa"/>
            <w:left w:w="108" w:type="dxa"/>
            <w:bottom w:w="0" w:type="dxa"/>
            <w:right w:w="108" w:type="dxa"/>
          </w:tblCellMar>
        </w:tblPrEx>
        <w:trPr>
          <w:trHeight w:val="1059"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924" w:type="dxa"/>
            <w:vMerge w:val="continue"/>
            <w:tcBorders>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p>
        </w:tc>
        <w:tc>
          <w:tcPr>
            <w:tcW w:w="31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新增交易额100亿元平台企业数量</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个</w:t>
            </w:r>
            <w:r>
              <w:rPr>
                <w:rFonts w:hint="eastAsia" w:ascii="Times New Roman" w:hAnsi="Times New Roman" w:eastAsia="方正仿宋_GBK" w:cs="Times New Roman"/>
                <w:kern w:val="0"/>
                <w:szCs w:val="21"/>
                <w:highlight w:val="none"/>
                <w:lang w:eastAsia="zh-CN"/>
              </w:rPr>
              <w:t>）</w:t>
            </w:r>
          </w:p>
        </w:tc>
        <w:tc>
          <w:tcPr>
            <w:tcW w:w="10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1</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县商务局</w:t>
            </w:r>
          </w:p>
        </w:tc>
        <w:tc>
          <w:tcPr>
            <w:tcW w:w="14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lang w:eastAsia="zh-CN"/>
              </w:rPr>
              <w:t>县</w:t>
            </w:r>
            <w:r>
              <w:rPr>
                <w:rFonts w:hint="default" w:ascii="Times New Roman" w:hAnsi="Times New Roman" w:eastAsia="方正仿宋_GBK" w:cs="Times New Roman"/>
                <w:kern w:val="0"/>
                <w:szCs w:val="21"/>
                <w:highlight w:val="none"/>
              </w:rPr>
              <w:t>发改局</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lang w:eastAsia="zh-CN"/>
              </w:rPr>
              <w:t>县</w:t>
            </w:r>
            <w:r>
              <w:rPr>
                <w:rFonts w:hint="default" w:ascii="Times New Roman" w:hAnsi="Times New Roman" w:eastAsia="方正仿宋_GBK" w:cs="Times New Roman"/>
                <w:kern w:val="0"/>
                <w:szCs w:val="21"/>
                <w:highlight w:val="none"/>
              </w:rPr>
              <w:t>商务局</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lang w:eastAsia="zh-CN"/>
              </w:rPr>
              <w:t>县</w:t>
            </w:r>
            <w:r>
              <w:rPr>
                <w:rFonts w:hint="default" w:ascii="Times New Roman" w:hAnsi="Times New Roman" w:eastAsia="方正仿宋_GBK" w:cs="Times New Roman"/>
                <w:kern w:val="0"/>
                <w:szCs w:val="21"/>
                <w:highlight w:val="none"/>
              </w:rPr>
              <w:t>统计局</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lang w:eastAsia="zh-CN"/>
              </w:rPr>
              <w:t>县</w:t>
            </w:r>
            <w:r>
              <w:rPr>
                <w:rFonts w:hint="default" w:ascii="Times New Roman" w:hAnsi="Times New Roman" w:eastAsia="方正仿宋_GBK" w:cs="Times New Roman"/>
                <w:kern w:val="0"/>
                <w:szCs w:val="21"/>
                <w:highlight w:val="none"/>
              </w:rPr>
              <w:t>税务局</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县商务局</w:t>
            </w: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924"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p>
        </w:tc>
        <w:tc>
          <w:tcPr>
            <w:tcW w:w="31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新增省级两业融合试点(服务业领军)企业数量</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个</w:t>
            </w:r>
            <w:r>
              <w:rPr>
                <w:rFonts w:hint="eastAsia" w:ascii="Times New Roman" w:hAnsi="Times New Roman" w:eastAsia="方正仿宋_GBK" w:cs="Times New Roman"/>
                <w:kern w:val="0"/>
                <w:szCs w:val="21"/>
                <w:highlight w:val="none"/>
                <w:lang w:eastAsia="zh-CN"/>
              </w:rPr>
              <w:t>）</w:t>
            </w:r>
          </w:p>
        </w:tc>
        <w:tc>
          <w:tcPr>
            <w:tcW w:w="10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3</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1</w:t>
            </w:r>
            <w:r>
              <w:rPr>
                <w:rFonts w:hint="eastAsia" w:ascii="Times New Roman" w:hAnsi="Times New Roman" w:eastAsia="方正仿宋_GBK" w:cs="Times New Roman"/>
                <w:kern w:val="0"/>
                <w:szCs w:val="21"/>
                <w:highlight w:val="none"/>
                <w:lang w:eastAsia="zh-CN"/>
              </w:rPr>
              <w:t>）</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县发改局</w:t>
            </w:r>
          </w:p>
        </w:tc>
        <w:tc>
          <w:tcPr>
            <w:tcW w:w="14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县发改局</w:t>
            </w: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8</w:t>
            </w:r>
          </w:p>
        </w:tc>
        <w:tc>
          <w:tcPr>
            <w:tcW w:w="92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载体建设</w:t>
            </w:r>
          </w:p>
        </w:tc>
        <w:tc>
          <w:tcPr>
            <w:tcW w:w="31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新开工投资亿元以上载体项目数量</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个</w:t>
            </w:r>
            <w:r>
              <w:rPr>
                <w:rFonts w:hint="eastAsia" w:ascii="Times New Roman" w:hAnsi="Times New Roman" w:eastAsia="方正仿宋_GBK" w:cs="Times New Roman"/>
                <w:kern w:val="0"/>
                <w:szCs w:val="21"/>
                <w:highlight w:val="none"/>
                <w:lang w:eastAsia="zh-CN"/>
              </w:rPr>
              <w:t>）</w:t>
            </w:r>
          </w:p>
        </w:tc>
        <w:tc>
          <w:tcPr>
            <w:tcW w:w="10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lang w:val="en-US" w:eastAsia="zh-CN"/>
              </w:rPr>
            </w:pPr>
            <w:r>
              <w:rPr>
                <w:rFonts w:hint="default" w:ascii="Times New Roman" w:hAnsi="Times New Roman" w:eastAsia="方正仿宋_GBK" w:cs="Times New Roman"/>
                <w:kern w:val="0"/>
                <w:szCs w:val="21"/>
                <w:highlight w:val="none"/>
                <w:lang w:val="en-US" w:eastAsia="zh-CN"/>
              </w:rPr>
              <w:t>20</w:t>
            </w:r>
          </w:p>
        </w:tc>
        <w:tc>
          <w:tcPr>
            <w:tcW w:w="997" w:type="dxa"/>
            <w:vMerge w:val="restart"/>
            <w:tcBorders>
              <w:top w:val="single" w:color="auto" w:sz="4" w:space="0"/>
              <w:left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县发改局</w:t>
            </w:r>
          </w:p>
        </w:tc>
        <w:tc>
          <w:tcPr>
            <w:tcW w:w="14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tc>
        <w:tc>
          <w:tcPr>
            <w:tcW w:w="9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县发改局</w:t>
            </w: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p>
        </w:tc>
        <w:tc>
          <w:tcPr>
            <w:tcW w:w="31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新竣工投资亿元以上载体项目数量</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个</w:t>
            </w:r>
            <w:r>
              <w:rPr>
                <w:rFonts w:hint="eastAsia" w:ascii="Times New Roman" w:hAnsi="Times New Roman" w:eastAsia="方正仿宋_GBK" w:cs="Times New Roman"/>
                <w:kern w:val="0"/>
                <w:szCs w:val="21"/>
                <w:highlight w:val="none"/>
                <w:lang w:eastAsia="zh-CN"/>
              </w:rPr>
              <w:t>）</w:t>
            </w:r>
          </w:p>
        </w:tc>
        <w:tc>
          <w:tcPr>
            <w:tcW w:w="10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lang w:val="en-US" w:eastAsia="zh-CN"/>
              </w:rPr>
            </w:pPr>
            <w:r>
              <w:rPr>
                <w:rFonts w:hint="default" w:ascii="Times New Roman" w:hAnsi="Times New Roman" w:eastAsia="方正仿宋_GBK" w:cs="Times New Roman"/>
                <w:kern w:val="0"/>
                <w:szCs w:val="21"/>
                <w:highlight w:val="none"/>
                <w:lang w:val="en-US" w:eastAsia="zh-CN"/>
              </w:rPr>
              <w:t>15</w:t>
            </w:r>
          </w:p>
        </w:tc>
        <w:tc>
          <w:tcPr>
            <w:tcW w:w="997" w:type="dxa"/>
            <w:vMerge w:val="continue"/>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p>
        </w:tc>
        <w:tc>
          <w:tcPr>
            <w:tcW w:w="14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tc>
        <w:tc>
          <w:tcPr>
            <w:tcW w:w="9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p>
        </w:tc>
      </w:tr>
      <w:tr>
        <w:tblPrEx>
          <w:tblCellMar>
            <w:top w:w="0" w:type="dxa"/>
            <w:left w:w="108" w:type="dxa"/>
            <w:bottom w:w="0" w:type="dxa"/>
            <w:right w:w="108" w:type="dxa"/>
          </w:tblCellMar>
        </w:tblPrEx>
        <w:trPr>
          <w:trHeight w:val="42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restart"/>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9</w:t>
            </w:r>
          </w:p>
        </w:tc>
        <w:tc>
          <w:tcPr>
            <w:tcW w:w="92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集聚区发展</w:t>
            </w:r>
          </w:p>
        </w:tc>
        <w:tc>
          <w:tcPr>
            <w:tcW w:w="31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集聚区注册企业</w:t>
            </w:r>
            <w:r>
              <w:rPr>
                <w:rFonts w:hint="default" w:ascii="Times New Roman" w:hAnsi="Times New Roman" w:eastAsia="方正仿宋_GBK" w:cs="Times New Roman"/>
                <w:kern w:val="0"/>
                <w:szCs w:val="21"/>
                <w:highlight w:val="none"/>
                <w:lang w:eastAsia="zh-CN"/>
              </w:rPr>
              <w:t>数量</w:t>
            </w:r>
            <w:r>
              <w:rPr>
                <w:rFonts w:hint="default" w:ascii="Times New Roman" w:hAnsi="Times New Roman" w:eastAsia="方正仿宋_GBK" w:cs="Times New Roman"/>
                <w:kern w:val="0"/>
                <w:szCs w:val="21"/>
                <w:highlight w:val="none"/>
              </w:rPr>
              <w:t>增速</w:t>
            </w:r>
            <w:r>
              <w:rPr>
                <w:rFonts w:hint="eastAsia" w:ascii="Times New Roman" w:hAnsi="Times New Roman" w:eastAsia="方正仿宋_GBK" w:cs="Times New Roman"/>
                <w:kern w:val="0"/>
                <w:szCs w:val="21"/>
                <w:highlight w:val="none"/>
                <w:lang w:eastAsia="zh-CN"/>
              </w:rPr>
              <w:t>（</w:t>
            </w:r>
            <w:r>
              <w:rPr>
                <w:rFonts w:hint="eastAsia" w:ascii="Times New Roman" w:hAnsi="Times New Roman" w:eastAsia="方正仿宋_GBK" w:cs="Times New Roman"/>
                <w:kern w:val="0"/>
                <w:szCs w:val="21"/>
                <w:highlight w:val="none"/>
                <w:lang w:val="en-US" w:eastAsia="zh-CN"/>
              </w:rPr>
              <w:t>%</w:t>
            </w:r>
            <w:r>
              <w:rPr>
                <w:rFonts w:hint="eastAsia" w:ascii="Times New Roman" w:hAnsi="Times New Roman" w:eastAsia="方正仿宋_GBK" w:cs="Times New Roman"/>
                <w:kern w:val="0"/>
                <w:szCs w:val="21"/>
                <w:highlight w:val="none"/>
                <w:lang w:eastAsia="zh-CN"/>
              </w:rPr>
              <w:t>）</w:t>
            </w:r>
          </w:p>
        </w:tc>
        <w:tc>
          <w:tcPr>
            <w:tcW w:w="10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15</w:t>
            </w: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县市监局</w:t>
            </w:r>
          </w:p>
        </w:tc>
        <w:tc>
          <w:tcPr>
            <w:tcW w:w="14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tc>
        <w:tc>
          <w:tcPr>
            <w:tcW w:w="9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县市监局</w:t>
            </w:r>
          </w:p>
        </w:tc>
      </w:tr>
      <w:tr>
        <w:tblPrEx>
          <w:tblCellMar>
            <w:top w:w="0" w:type="dxa"/>
            <w:left w:w="108" w:type="dxa"/>
            <w:bottom w:w="0" w:type="dxa"/>
            <w:right w:w="108" w:type="dxa"/>
          </w:tblCellMar>
        </w:tblPrEx>
        <w:trPr>
          <w:trHeight w:val="580"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p>
        </w:tc>
        <w:tc>
          <w:tcPr>
            <w:tcW w:w="924"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p>
        </w:tc>
        <w:tc>
          <w:tcPr>
            <w:tcW w:w="3109" w:type="dxa"/>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新增市</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省</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现代服务业高质量集聚区数量</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个</w:t>
            </w:r>
            <w:r>
              <w:rPr>
                <w:rFonts w:hint="eastAsia" w:ascii="Times New Roman" w:hAnsi="Times New Roman" w:eastAsia="方正仿宋_GBK" w:cs="Times New Roman"/>
                <w:kern w:val="0"/>
                <w:szCs w:val="21"/>
                <w:highlight w:val="none"/>
                <w:lang w:eastAsia="zh-CN"/>
              </w:rPr>
              <w:t>）</w:t>
            </w:r>
          </w:p>
        </w:tc>
        <w:tc>
          <w:tcPr>
            <w:tcW w:w="1012"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4</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1</w:t>
            </w:r>
            <w:r>
              <w:rPr>
                <w:rFonts w:hint="eastAsia" w:ascii="Times New Roman" w:hAnsi="Times New Roman" w:eastAsia="方正仿宋_GBK" w:cs="Times New Roman"/>
                <w:kern w:val="0"/>
                <w:szCs w:val="21"/>
                <w:highlight w:val="none"/>
                <w:lang w:eastAsia="zh-CN"/>
              </w:rPr>
              <w:t>）</w:t>
            </w:r>
          </w:p>
        </w:tc>
        <w:tc>
          <w:tcPr>
            <w:tcW w:w="997" w:type="dxa"/>
            <w:tcBorders>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县发改局</w:t>
            </w:r>
          </w:p>
        </w:tc>
        <w:tc>
          <w:tcPr>
            <w:tcW w:w="1441" w:type="dxa"/>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tc>
        <w:tc>
          <w:tcPr>
            <w:tcW w:w="960" w:type="dxa"/>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县发改局</w:t>
            </w:r>
          </w:p>
        </w:tc>
      </w:tr>
      <w:tr>
        <w:tblPrEx>
          <w:tblCellMar>
            <w:top w:w="0" w:type="dxa"/>
            <w:left w:w="108" w:type="dxa"/>
            <w:bottom w:w="0" w:type="dxa"/>
            <w:right w:w="108" w:type="dxa"/>
          </w:tblCellMar>
        </w:tblPrEx>
        <w:trPr>
          <w:trHeight w:val="481" w:hRule="exact"/>
          <w:jc w:val="center"/>
        </w:trPr>
        <w:tc>
          <w:tcPr>
            <w:tcW w:w="573" w:type="dxa"/>
            <w:vMerge w:val="continue"/>
            <w:tcBorders>
              <w:left w:val="single" w:color="000000"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restart"/>
            <w:tcBorders>
              <w:top w:val="single" w:color="auto" w:sz="4" w:space="0"/>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szCs w:val="21"/>
                <w:highlight w:val="none"/>
              </w:rPr>
              <w:t>10</w:t>
            </w:r>
          </w:p>
        </w:tc>
        <w:tc>
          <w:tcPr>
            <w:tcW w:w="924" w:type="dxa"/>
            <w:vMerge w:val="restart"/>
            <w:tcBorders>
              <w:top w:val="single" w:color="000000" w:sz="4" w:space="0"/>
              <w:left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服务业人才</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口</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集聚</w:t>
            </w:r>
          </w:p>
        </w:tc>
        <w:tc>
          <w:tcPr>
            <w:tcW w:w="3109"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城镇新增服务业就业人数</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人</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szCs w:val="21"/>
                <w:highlight w:val="none"/>
              </w:rPr>
            </w:pPr>
            <w:r>
              <w:rPr>
                <w:rFonts w:hint="default" w:ascii="Times New Roman" w:hAnsi="Times New Roman" w:eastAsia="方正仿宋_GBK" w:cs="Times New Roman"/>
                <w:kern w:val="0"/>
                <w:szCs w:val="21"/>
                <w:highlight w:val="none"/>
              </w:rPr>
              <w:t>2300</w:t>
            </w:r>
          </w:p>
        </w:tc>
        <w:tc>
          <w:tcPr>
            <w:tcW w:w="99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县人社局</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县人社局</w:t>
            </w:r>
          </w:p>
        </w:tc>
      </w:tr>
      <w:tr>
        <w:tblPrEx>
          <w:tblCellMar>
            <w:top w:w="0" w:type="dxa"/>
            <w:left w:w="108" w:type="dxa"/>
            <w:bottom w:w="0" w:type="dxa"/>
            <w:right w:w="108" w:type="dxa"/>
          </w:tblCellMar>
        </w:tblPrEx>
        <w:trPr>
          <w:trHeight w:val="664" w:hRule="exact"/>
          <w:jc w:val="center"/>
        </w:trPr>
        <w:tc>
          <w:tcPr>
            <w:tcW w:w="573" w:type="dxa"/>
            <w:vMerge w:val="continue"/>
            <w:tcBorders>
              <w:left w:val="single" w:color="000000"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left"/>
              <w:rPr>
                <w:rFonts w:hint="default" w:ascii="Times New Roman" w:hAnsi="Times New Roman" w:eastAsia="方正仿宋_GBK" w:cs="Times New Roman"/>
                <w:szCs w:val="21"/>
                <w:highlight w:val="none"/>
              </w:rPr>
            </w:pPr>
          </w:p>
        </w:tc>
        <w:tc>
          <w:tcPr>
            <w:tcW w:w="48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exact"/>
              <w:ind w:left="-84" w:leftChars="-40" w:right="-84" w:rightChars="-40"/>
              <w:jc w:val="center"/>
              <w:rPr>
                <w:rFonts w:hint="default" w:ascii="Times New Roman" w:hAnsi="Times New Roman" w:eastAsia="方正仿宋_GBK" w:cs="Times New Roman"/>
                <w:szCs w:val="21"/>
                <w:highlight w:val="none"/>
              </w:rPr>
            </w:pPr>
          </w:p>
        </w:tc>
        <w:tc>
          <w:tcPr>
            <w:tcW w:w="924" w:type="dxa"/>
            <w:vMerge w:val="continue"/>
            <w:tcBorders>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p>
        </w:tc>
        <w:tc>
          <w:tcPr>
            <w:tcW w:w="3109" w:type="dxa"/>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left"/>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服务业新引进大专以上学历毕业生人数</w:t>
            </w:r>
            <w:r>
              <w:rPr>
                <w:rFonts w:hint="eastAsia"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人</w:t>
            </w:r>
            <w:r>
              <w:rPr>
                <w:rFonts w:hint="eastAsia" w:ascii="Times New Roman" w:hAnsi="Times New Roman" w:eastAsia="方正仿宋_GBK" w:cs="Times New Roman"/>
                <w:kern w:val="0"/>
                <w:szCs w:val="21"/>
                <w:highlight w:val="none"/>
                <w:lang w:eastAsia="zh-CN"/>
              </w:rPr>
              <w:t>）</w:t>
            </w:r>
          </w:p>
        </w:tc>
        <w:tc>
          <w:tcPr>
            <w:tcW w:w="101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1800</w:t>
            </w:r>
          </w:p>
        </w:tc>
        <w:tc>
          <w:tcPr>
            <w:tcW w:w="997"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县人才办</w:t>
            </w:r>
          </w:p>
        </w:tc>
        <w:tc>
          <w:tcPr>
            <w:tcW w:w="144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乡镇</w:t>
            </w:r>
            <w:r>
              <w:rPr>
                <w:rFonts w:hint="default" w:ascii="Times New Roman" w:hAnsi="Times New Roman" w:eastAsia="方正仿宋_GBK" w:cs="Times New Roman"/>
                <w:kern w:val="0"/>
                <w:szCs w:val="21"/>
                <w:highlight w:val="none"/>
                <w:lang w:eastAsia="zh-CN"/>
              </w:rPr>
              <w:t>（</w:t>
            </w:r>
            <w:r>
              <w:rPr>
                <w:rFonts w:hint="default" w:ascii="Times New Roman" w:hAnsi="Times New Roman" w:eastAsia="方正仿宋_GBK" w:cs="Times New Roman"/>
                <w:kern w:val="0"/>
                <w:szCs w:val="21"/>
                <w:highlight w:val="none"/>
              </w:rPr>
              <w:t>街道</w:t>
            </w:r>
            <w:r>
              <w:rPr>
                <w:rFonts w:hint="default" w:ascii="Times New Roman" w:hAnsi="Times New Roman" w:eastAsia="方正仿宋_GBK" w:cs="Times New Roman"/>
                <w:kern w:val="0"/>
                <w:szCs w:val="21"/>
                <w:highlight w:val="none"/>
                <w:lang w:eastAsia="zh-CN"/>
              </w:rPr>
              <w:t>）</w:t>
            </w:r>
          </w:p>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园区</w:t>
            </w:r>
          </w:p>
        </w:tc>
        <w:tc>
          <w:tcPr>
            <w:tcW w:w="96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240" w:lineRule="exact"/>
              <w:ind w:left="-84" w:leftChars="-40" w:right="-84" w:rightChars="-40"/>
              <w:jc w:val="center"/>
              <w:textAlignment w:val="center"/>
              <w:rPr>
                <w:rFonts w:hint="default" w:ascii="Times New Roman" w:hAnsi="Times New Roman" w:eastAsia="方正仿宋_GBK" w:cs="Times New Roman"/>
                <w:kern w:val="0"/>
                <w:szCs w:val="21"/>
                <w:highlight w:val="none"/>
              </w:rPr>
            </w:pPr>
            <w:r>
              <w:rPr>
                <w:rFonts w:hint="default" w:ascii="Times New Roman" w:hAnsi="Times New Roman" w:eastAsia="方正仿宋_GBK" w:cs="Times New Roman"/>
                <w:kern w:val="0"/>
                <w:szCs w:val="21"/>
                <w:highlight w:val="none"/>
              </w:rPr>
              <w:t>县人才办</w:t>
            </w:r>
          </w:p>
        </w:tc>
      </w:tr>
    </w:tbl>
    <w:p>
      <w:pPr>
        <w:rPr>
          <w:rFonts w:ascii="Times New Roman" w:hAnsi="Times New Roman" w:eastAsia="黑体" w:cs="Times New Roman"/>
          <w:sz w:val="32"/>
          <w:szCs w:val="32"/>
          <w:highlight w:val="none"/>
        </w:rPr>
        <w:sectPr>
          <w:pgSz w:w="11906" w:h="16838"/>
          <w:pgMar w:top="1587" w:right="1134" w:bottom="1587" w:left="1417" w:header="850" w:footer="992" w:gutter="0"/>
          <w:pgNumType w:fmt="decimal"/>
          <w:cols w:space="720" w:num="1"/>
          <w:docGrid w:type="lines" w:linePitch="349" w:charSpace="0"/>
        </w:sectPr>
      </w:pPr>
    </w:p>
    <w:p>
      <w:pPr>
        <w:rPr>
          <w:rFonts w:hint="eastAsia" w:ascii="Times New Roman" w:hAnsi="Times New Roman" w:eastAsia="方正黑体_GBK" w:cs="Times New Roman"/>
          <w:sz w:val="32"/>
          <w:szCs w:val="32"/>
          <w:highlight w:val="none"/>
          <w:lang w:eastAsia="zh-CN"/>
        </w:rPr>
      </w:pPr>
      <w:r>
        <w:rPr>
          <w:rFonts w:hint="eastAsia" w:ascii="Times New Roman" w:hAnsi="Times New Roman" w:eastAsia="方正黑体_GBK" w:cs="Times New Roman"/>
          <w:sz w:val="32"/>
          <w:szCs w:val="32"/>
          <w:highlight w:val="none"/>
        </w:rPr>
        <w:t>附件</w:t>
      </w:r>
      <w:r>
        <w:rPr>
          <w:rFonts w:hint="eastAsia" w:ascii="Times New Roman" w:hAnsi="Times New Roman" w:eastAsia="方正黑体_GBK" w:cs="Times New Roman"/>
          <w:sz w:val="32"/>
          <w:szCs w:val="32"/>
          <w:highlight w:val="none"/>
          <w:lang w:val="en-US" w:eastAsia="zh-CN"/>
        </w:rPr>
        <w:t>2</w:t>
      </w:r>
    </w:p>
    <w:p>
      <w:pPr>
        <w:spacing w:line="500" w:lineRule="exact"/>
        <w:jc w:val="center"/>
        <w:rPr>
          <w:rFonts w:ascii="Times New Roman" w:hAnsi="Times New Roman" w:eastAsia="方正小标宋_GBK" w:cs="Times New Roman"/>
          <w:kern w:val="0"/>
          <w:sz w:val="44"/>
          <w:szCs w:val="44"/>
          <w:highlight w:val="none"/>
          <w:lang w:bidi="ar"/>
        </w:rPr>
      </w:pPr>
      <w:r>
        <w:rPr>
          <w:rFonts w:hint="eastAsia" w:ascii="Times New Roman" w:hAnsi="Times New Roman" w:eastAsia="方正小标宋_GBK" w:cs="Times New Roman"/>
          <w:kern w:val="0"/>
          <w:sz w:val="44"/>
          <w:szCs w:val="44"/>
          <w:highlight w:val="none"/>
          <w:lang w:bidi="ar"/>
        </w:rPr>
        <w:t>2024年泗洪县现代服务业重点项目一览表</w:t>
      </w:r>
    </w:p>
    <w:p>
      <w:pPr>
        <w:pStyle w:val="3"/>
        <w:spacing w:before="0" w:after="0" w:line="500" w:lineRule="exact"/>
        <w:jc w:val="center"/>
        <w:rPr>
          <w:rFonts w:asciiTheme="minorEastAsia" w:hAnsiTheme="minorEastAsia" w:cstheme="minorEastAsia"/>
          <w:color w:val="auto"/>
          <w:sz w:val="20"/>
          <w:szCs w:val="20"/>
          <w:highlight w:val="none"/>
        </w:rPr>
      </w:pPr>
      <w:r>
        <w:rPr>
          <w:rFonts w:hint="eastAsia" w:asciiTheme="minorEastAsia" w:hAnsiTheme="minorEastAsia" w:cstheme="minorEastAsia"/>
          <w:color w:val="auto"/>
          <w:sz w:val="20"/>
          <w:szCs w:val="20"/>
          <w:highlight w:val="none"/>
          <w:lang w:bidi="ar"/>
        </w:rPr>
        <w:t xml:space="preserve">                                                                                                                       单位：万元</w:t>
      </w:r>
    </w:p>
    <w:tbl>
      <w:tblPr>
        <w:tblStyle w:val="14"/>
        <w:tblW w:w="14300" w:type="dxa"/>
        <w:jc w:val="center"/>
        <w:tblLayout w:type="fixed"/>
        <w:tblCellMar>
          <w:top w:w="0" w:type="dxa"/>
          <w:left w:w="108" w:type="dxa"/>
          <w:bottom w:w="0" w:type="dxa"/>
          <w:right w:w="108" w:type="dxa"/>
        </w:tblCellMar>
      </w:tblPr>
      <w:tblGrid>
        <w:gridCol w:w="814"/>
        <w:gridCol w:w="2160"/>
        <w:gridCol w:w="915"/>
        <w:gridCol w:w="967"/>
        <w:gridCol w:w="5423"/>
        <w:gridCol w:w="1260"/>
        <w:gridCol w:w="1140"/>
        <w:gridCol w:w="1621"/>
      </w:tblGrid>
      <w:tr>
        <w:tblPrEx>
          <w:tblCellMar>
            <w:top w:w="0" w:type="dxa"/>
            <w:left w:w="108" w:type="dxa"/>
            <w:bottom w:w="0" w:type="dxa"/>
            <w:right w:w="108" w:type="dxa"/>
          </w:tblCellMar>
        </w:tblPrEx>
        <w:trPr>
          <w:trHeight w:val="550" w:hRule="atLeast"/>
          <w:tblHeader/>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Cs w:val="21"/>
                <w:highlight w:val="none"/>
              </w:rPr>
            </w:pPr>
            <w:r>
              <w:rPr>
                <w:rStyle w:val="34"/>
                <w:rFonts w:hint="default" w:ascii="Times New Roman" w:hAnsi="Times New Roman" w:cs="Times New Roman"/>
                <w:b w:val="0"/>
                <w:bCs w:val="0"/>
                <w:sz w:val="21"/>
                <w:szCs w:val="21"/>
                <w:highlight w:val="none"/>
                <w:lang w:bidi="ar"/>
              </w:rPr>
              <w:t>序号</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Cs w:val="21"/>
                <w:highlight w:val="none"/>
              </w:rPr>
            </w:pPr>
            <w:r>
              <w:rPr>
                <w:rStyle w:val="34"/>
                <w:rFonts w:hint="default" w:ascii="Times New Roman" w:hAnsi="Times New Roman" w:cs="Times New Roman"/>
                <w:b w:val="0"/>
                <w:bCs w:val="0"/>
                <w:sz w:val="21"/>
                <w:szCs w:val="21"/>
                <w:highlight w:val="none"/>
                <w:lang w:bidi="ar"/>
              </w:rPr>
              <w:t>项目名称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Style w:val="34"/>
                <w:rFonts w:hint="default" w:ascii="Times New Roman" w:hAnsi="Times New Roman" w:cs="Times New Roman"/>
                <w:b w:val="0"/>
                <w:bCs w:val="0"/>
                <w:sz w:val="21"/>
                <w:szCs w:val="21"/>
                <w:highlight w:val="none"/>
                <w:lang w:bidi="ar"/>
              </w:rPr>
            </w:pPr>
            <w:r>
              <w:rPr>
                <w:rStyle w:val="34"/>
                <w:rFonts w:hint="default" w:ascii="Times New Roman" w:hAnsi="Times New Roman" w:cs="Times New Roman"/>
                <w:b w:val="0"/>
                <w:bCs w:val="0"/>
                <w:sz w:val="21"/>
                <w:szCs w:val="21"/>
                <w:highlight w:val="none"/>
                <w:lang w:bidi="ar"/>
              </w:rPr>
              <w:t>项目</w:t>
            </w:r>
          </w:p>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Cs w:val="21"/>
                <w:highlight w:val="none"/>
              </w:rPr>
            </w:pPr>
            <w:r>
              <w:rPr>
                <w:rStyle w:val="34"/>
                <w:rFonts w:hint="default" w:ascii="Times New Roman" w:hAnsi="Times New Roman" w:cs="Times New Roman"/>
                <w:b w:val="0"/>
                <w:bCs w:val="0"/>
                <w:sz w:val="21"/>
                <w:szCs w:val="21"/>
                <w:highlight w:val="none"/>
                <w:lang w:bidi="ar"/>
              </w:rPr>
              <w:t>性质</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Style w:val="34"/>
                <w:rFonts w:hint="default" w:ascii="Times New Roman" w:hAnsi="Times New Roman" w:cs="Times New Roman"/>
                <w:b w:val="0"/>
                <w:bCs w:val="0"/>
                <w:sz w:val="21"/>
                <w:szCs w:val="21"/>
                <w:highlight w:val="none"/>
                <w:lang w:bidi="ar"/>
              </w:rPr>
            </w:pPr>
            <w:r>
              <w:rPr>
                <w:rStyle w:val="34"/>
                <w:rFonts w:hint="default" w:ascii="Times New Roman" w:hAnsi="Times New Roman" w:cs="Times New Roman"/>
                <w:b w:val="0"/>
                <w:bCs w:val="0"/>
                <w:sz w:val="21"/>
                <w:szCs w:val="21"/>
                <w:highlight w:val="none"/>
                <w:lang w:bidi="ar"/>
              </w:rPr>
              <w:t>开竣工</w:t>
            </w:r>
          </w:p>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Cs w:val="21"/>
                <w:highlight w:val="none"/>
              </w:rPr>
            </w:pPr>
            <w:r>
              <w:rPr>
                <w:rStyle w:val="34"/>
                <w:rFonts w:hint="default" w:ascii="Times New Roman" w:hAnsi="Times New Roman" w:cs="Times New Roman"/>
                <w:b w:val="0"/>
                <w:bCs w:val="0"/>
                <w:sz w:val="21"/>
                <w:szCs w:val="21"/>
                <w:highlight w:val="none"/>
                <w:lang w:bidi="ar"/>
              </w:rPr>
              <w:t>时间</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Cs w:val="21"/>
                <w:highlight w:val="none"/>
              </w:rPr>
            </w:pPr>
            <w:r>
              <w:rPr>
                <w:rStyle w:val="34"/>
                <w:rFonts w:hint="default" w:ascii="Times New Roman" w:hAnsi="Times New Roman" w:cs="Times New Roman"/>
                <w:b w:val="0"/>
                <w:bCs w:val="0"/>
                <w:sz w:val="21"/>
                <w:szCs w:val="21"/>
                <w:highlight w:val="none"/>
                <w:lang w:bidi="ar"/>
              </w:rPr>
              <w:t>总建设内容及规模</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Style w:val="34"/>
                <w:rFonts w:hint="default" w:ascii="Times New Roman" w:hAnsi="Times New Roman" w:cs="Times New Roman"/>
                <w:b w:val="0"/>
                <w:bCs w:val="0"/>
                <w:sz w:val="21"/>
                <w:szCs w:val="21"/>
                <w:highlight w:val="none"/>
                <w:lang w:bidi="ar"/>
              </w:rPr>
            </w:pPr>
            <w:r>
              <w:rPr>
                <w:rStyle w:val="34"/>
                <w:rFonts w:hint="default" w:ascii="Times New Roman" w:hAnsi="Times New Roman" w:cs="Times New Roman"/>
                <w:b w:val="0"/>
                <w:bCs w:val="0"/>
                <w:sz w:val="21"/>
                <w:szCs w:val="21"/>
                <w:highlight w:val="none"/>
                <w:lang w:bidi="ar"/>
              </w:rPr>
              <w:t>计划</w:t>
            </w:r>
          </w:p>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Cs w:val="21"/>
                <w:highlight w:val="none"/>
              </w:rPr>
            </w:pPr>
            <w:r>
              <w:rPr>
                <w:rStyle w:val="34"/>
                <w:rFonts w:hint="default" w:ascii="Times New Roman" w:hAnsi="Times New Roman" w:cs="Times New Roman"/>
                <w:b w:val="0"/>
                <w:bCs w:val="0"/>
                <w:sz w:val="21"/>
                <w:szCs w:val="21"/>
                <w:highlight w:val="none"/>
                <w:lang w:bidi="ar"/>
              </w:rPr>
              <w:t>总投资</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Cs w:val="21"/>
                <w:highlight w:val="none"/>
              </w:rPr>
            </w:pPr>
            <w:r>
              <w:rPr>
                <w:rStyle w:val="28"/>
                <w:rFonts w:eastAsia="宋体"/>
                <w:b w:val="0"/>
                <w:bCs w:val="0"/>
                <w:sz w:val="21"/>
                <w:szCs w:val="21"/>
                <w:highlight w:val="none"/>
                <w:lang w:bidi="ar"/>
              </w:rPr>
              <w:t>2024</w:t>
            </w:r>
            <w:r>
              <w:rPr>
                <w:rStyle w:val="34"/>
                <w:rFonts w:hint="default" w:ascii="Times New Roman" w:hAnsi="Times New Roman" w:cs="Times New Roman"/>
                <w:b w:val="0"/>
                <w:bCs w:val="0"/>
                <w:sz w:val="21"/>
                <w:szCs w:val="21"/>
                <w:highlight w:val="none"/>
                <w:lang w:bidi="ar"/>
              </w:rPr>
              <w:t>年计划投资</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Cs w:val="21"/>
                <w:highlight w:val="none"/>
              </w:rPr>
            </w:pPr>
            <w:r>
              <w:rPr>
                <w:rStyle w:val="34"/>
                <w:rFonts w:hint="default" w:ascii="Times New Roman" w:hAnsi="Times New Roman" w:cs="Times New Roman"/>
                <w:b w:val="0"/>
                <w:bCs w:val="0"/>
                <w:sz w:val="21"/>
                <w:szCs w:val="21"/>
                <w:highlight w:val="none"/>
                <w:lang w:bidi="ar"/>
              </w:rPr>
              <w:t>责任单位</w:t>
            </w:r>
          </w:p>
        </w:tc>
      </w:tr>
      <w:tr>
        <w:tblPrEx>
          <w:tblCellMar>
            <w:top w:w="0" w:type="dxa"/>
            <w:left w:w="108" w:type="dxa"/>
            <w:bottom w:w="0" w:type="dxa"/>
            <w:right w:w="108" w:type="dxa"/>
          </w:tblCellMar>
        </w:tblPrEx>
        <w:trPr>
          <w:trHeight w:val="681"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val="0"/>
                <w:bCs w:val="0"/>
                <w:color w:val="000000"/>
                <w:sz w:val="18"/>
                <w:szCs w:val="18"/>
                <w:highlight w:val="none"/>
              </w:rPr>
            </w:pPr>
          </w:p>
        </w:tc>
        <w:tc>
          <w:tcPr>
            <w:tcW w:w="30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Cs w:val="21"/>
                <w:highlight w:val="none"/>
              </w:rPr>
            </w:pPr>
            <w:r>
              <w:rPr>
                <w:rStyle w:val="35"/>
                <w:rFonts w:hint="default" w:ascii="Times New Roman" w:hAnsi="Times New Roman" w:cs="Times New Roman"/>
                <w:b w:val="0"/>
                <w:bCs w:val="0"/>
                <w:sz w:val="21"/>
                <w:szCs w:val="21"/>
                <w:highlight w:val="none"/>
                <w:lang w:bidi="ar"/>
              </w:rPr>
              <w:t>合计（</w:t>
            </w:r>
            <w:r>
              <w:rPr>
                <w:rStyle w:val="30"/>
                <w:rFonts w:hint="default" w:ascii="Times New Roman" w:hAnsi="Times New Roman" w:cs="Times New Roman"/>
                <w:b w:val="0"/>
                <w:bCs w:val="0"/>
                <w:sz w:val="21"/>
                <w:szCs w:val="21"/>
                <w:highlight w:val="none"/>
                <w:lang w:bidi="ar"/>
              </w:rPr>
              <w:t>34</w:t>
            </w:r>
            <w:r>
              <w:rPr>
                <w:rStyle w:val="35"/>
                <w:rFonts w:hint="default" w:ascii="Times New Roman" w:hAnsi="Times New Roman" w:cs="Times New Roman"/>
                <w:b w:val="0"/>
                <w:bCs w:val="0"/>
                <w:sz w:val="21"/>
                <w:szCs w:val="21"/>
                <w:highlight w:val="none"/>
                <w:lang w:bidi="ar"/>
              </w:rPr>
              <w:t>个）</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val="0"/>
                <w:bCs w:val="0"/>
                <w:color w:val="000000"/>
                <w:sz w:val="18"/>
                <w:szCs w:val="18"/>
                <w:highlight w:val="none"/>
              </w:rPr>
            </w:pP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rPr>
                <w:rFonts w:hint="default" w:ascii="Times New Roman" w:hAnsi="Times New Roman" w:eastAsia="宋体" w:cs="Times New Roman"/>
                <w:b w:val="0"/>
                <w:bCs w:val="0"/>
                <w:color w:val="000000"/>
                <w:sz w:val="18"/>
                <w:szCs w:val="18"/>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2"/>
                <w:highlight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608300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2"/>
                <w:highlight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292</w:t>
            </w:r>
            <w:r>
              <w:rPr>
                <w:rFonts w:hint="eastAsia" w:ascii="Times New Roman" w:hAnsi="Times New Roman" w:eastAsia="宋体" w:cs="Times New Roman"/>
                <w:b w:val="0"/>
                <w:bCs w:val="0"/>
                <w:i w:val="0"/>
                <w:iCs w:val="0"/>
                <w:color w:val="000000"/>
                <w:kern w:val="0"/>
                <w:sz w:val="22"/>
                <w:szCs w:val="22"/>
                <w:highlight w:val="none"/>
                <w:u w:val="none"/>
                <w:lang w:val="en-US" w:eastAsia="zh-CN" w:bidi="ar"/>
              </w:rPr>
              <w:t>8</w:t>
            </w: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90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000000"/>
                <w:sz w:val="18"/>
                <w:szCs w:val="18"/>
                <w:highlight w:val="none"/>
              </w:rPr>
            </w:pP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2"/>
                <w:highlight w:val="none"/>
              </w:rPr>
            </w:pPr>
            <w:r>
              <w:rPr>
                <w:rStyle w:val="36"/>
                <w:rFonts w:hint="default" w:ascii="Times New Roman" w:hAnsi="Times New Roman" w:cs="Times New Roman"/>
                <w:b w:val="0"/>
                <w:bCs w:val="0"/>
                <w:sz w:val="22"/>
                <w:szCs w:val="22"/>
                <w:highlight w:val="none"/>
                <w:lang w:bidi="ar"/>
              </w:rPr>
              <w:t>一、</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2"/>
                <w:highlight w:val="none"/>
              </w:rPr>
            </w:pPr>
            <w:r>
              <w:rPr>
                <w:rStyle w:val="36"/>
                <w:rFonts w:hint="default" w:ascii="Times New Roman" w:hAnsi="Times New Roman" w:cs="Times New Roman"/>
                <w:b w:val="0"/>
                <w:bCs w:val="0"/>
                <w:sz w:val="22"/>
                <w:szCs w:val="22"/>
                <w:highlight w:val="none"/>
                <w:lang w:bidi="ar"/>
              </w:rPr>
              <w:t>生产性服务业</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val="0"/>
                <w:bCs w:val="0"/>
                <w:color w:val="000000"/>
                <w:sz w:val="18"/>
                <w:szCs w:val="18"/>
                <w:highlight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val="0"/>
                <w:bCs w:val="0"/>
                <w:color w:val="000000"/>
                <w:sz w:val="18"/>
                <w:szCs w:val="18"/>
                <w:highlight w:val="none"/>
              </w:rPr>
            </w:pP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rPr>
                <w:rFonts w:hint="default" w:ascii="Times New Roman" w:hAnsi="Times New Roman" w:eastAsia="宋体" w:cs="Times New Roman"/>
                <w:b w:val="0"/>
                <w:bCs w:val="0"/>
                <w:color w:val="000000"/>
                <w:sz w:val="18"/>
                <w:szCs w:val="18"/>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2"/>
                <w:highlight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182300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2"/>
                <w:highlight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89700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000000"/>
                <w:sz w:val="18"/>
                <w:szCs w:val="18"/>
                <w:highlight w:val="none"/>
              </w:rPr>
            </w:pPr>
          </w:p>
        </w:tc>
      </w:tr>
      <w:tr>
        <w:tblPrEx>
          <w:tblCellMar>
            <w:top w:w="0" w:type="dxa"/>
            <w:left w:w="108" w:type="dxa"/>
            <w:bottom w:w="0" w:type="dxa"/>
            <w:right w:w="108" w:type="dxa"/>
          </w:tblCellMar>
        </w:tblPrEx>
        <w:trPr>
          <w:trHeight w:val="1138"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18"/>
                <w:szCs w:val="18"/>
                <w:highlight w:val="none"/>
              </w:rPr>
            </w:pPr>
            <w:r>
              <w:rPr>
                <w:rFonts w:hint="default" w:ascii="Times New Roman" w:hAnsi="Times New Roman" w:eastAsia="宋体" w:cs="Times New Roman"/>
                <w:b w:val="0"/>
                <w:bCs w:val="0"/>
                <w:color w:val="000000"/>
                <w:kern w:val="0"/>
                <w:sz w:val="18"/>
                <w:szCs w:val="18"/>
                <w:highlight w:val="none"/>
                <w:lang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泗洪粮食物流产业园</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2024.6-</w:t>
            </w:r>
          </w:p>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2025.12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建筑面积5万平方米，建设大平房仓23栋，仓容量约22万吨，计划分两期完成：一期建设高大平房仓12栋（约12万吨仓容）及办公、配套附属设施；二期建设高大平房仓11栋（约10万吨仓容）及配套设施</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30000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10000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两山生态集团</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发改局</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大楼街道</w:t>
            </w:r>
          </w:p>
        </w:tc>
      </w:tr>
      <w:tr>
        <w:tblPrEx>
          <w:tblCellMar>
            <w:top w:w="0" w:type="dxa"/>
            <w:left w:w="108" w:type="dxa"/>
            <w:bottom w:w="0" w:type="dxa"/>
            <w:right w:w="108" w:type="dxa"/>
          </w:tblCellMar>
        </w:tblPrEx>
        <w:trPr>
          <w:trHeight w:val="769"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18"/>
                <w:szCs w:val="18"/>
                <w:highlight w:val="none"/>
              </w:rPr>
            </w:pPr>
            <w:r>
              <w:rPr>
                <w:rFonts w:hint="default" w:ascii="Times New Roman" w:hAnsi="Times New Roman" w:eastAsia="宋体" w:cs="Times New Roman"/>
                <w:b w:val="0"/>
                <w:bCs w:val="0"/>
                <w:color w:val="000000"/>
                <w:kern w:val="0"/>
                <w:sz w:val="18"/>
                <w:szCs w:val="18"/>
                <w:highlight w:val="none"/>
                <w:lang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农产品电商物流园（三期）</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2023.9-</w:t>
            </w:r>
          </w:p>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2025.12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Style w:val="37"/>
                <w:rFonts w:hint="default" w:ascii="Times New Roman" w:hAnsi="Times New Roman" w:cs="Times New Roman"/>
                <w:b w:val="0"/>
                <w:bCs w:val="0"/>
                <w:sz w:val="20"/>
                <w:szCs w:val="20"/>
                <w:highlight w:val="none"/>
                <w:lang w:bidi="ar"/>
              </w:rPr>
              <w:t>建筑面积</w:t>
            </w:r>
            <w:r>
              <w:rPr>
                <w:rStyle w:val="38"/>
                <w:rFonts w:eastAsia="宋体"/>
                <w:b w:val="0"/>
                <w:bCs w:val="0"/>
                <w:sz w:val="20"/>
                <w:szCs w:val="20"/>
                <w:highlight w:val="none"/>
                <w:lang w:bidi="ar"/>
              </w:rPr>
              <w:t>7</w:t>
            </w:r>
            <w:r>
              <w:rPr>
                <w:rStyle w:val="37"/>
                <w:rFonts w:hint="default" w:ascii="Times New Roman" w:hAnsi="Times New Roman" w:cs="Times New Roman"/>
                <w:b w:val="0"/>
                <w:bCs w:val="0"/>
                <w:sz w:val="20"/>
                <w:szCs w:val="20"/>
                <w:highlight w:val="none"/>
                <w:lang w:bidi="ar"/>
              </w:rPr>
              <w:t>万平方米，建设商业楼、仓储用房、冷库、保鲜库、盐业公司综合用房、大棚、地下人防等设施</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34000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12000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交通局</w:t>
            </w:r>
          </w:p>
        </w:tc>
      </w:tr>
      <w:tr>
        <w:tblPrEx>
          <w:tblCellMar>
            <w:top w:w="0" w:type="dxa"/>
            <w:left w:w="108" w:type="dxa"/>
            <w:bottom w:w="0" w:type="dxa"/>
            <w:right w:w="108" w:type="dxa"/>
          </w:tblCellMar>
        </w:tblPrEx>
        <w:trPr>
          <w:trHeight w:val="1347"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18"/>
                <w:szCs w:val="18"/>
                <w:highlight w:val="none"/>
              </w:rPr>
            </w:pPr>
            <w:r>
              <w:rPr>
                <w:rFonts w:hint="default" w:ascii="Times New Roman" w:hAnsi="Times New Roman" w:eastAsia="宋体" w:cs="Times New Roman"/>
                <w:b w:val="0"/>
                <w:bCs w:val="0"/>
                <w:color w:val="000000"/>
                <w:kern w:val="0"/>
                <w:sz w:val="18"/>
                <w:szCs w:val="18"/>
                <w:highlight w:val="none"/>
                <w:lang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国有</w:t>
            </w:r>
            <w:r>
              <w:rPr>
                <w:rStyle w:val="23"/>
                <w:rFonts w:hint="eastAsia" w:ascii="Times New Roman" w:hAnsi="Times New Roman" w:eastAsia="宋体" w:cs="Times New Roman"/>
                <w:b w:val="0"/>
                <w:bCs w:val="0"/>
                <w:highlight w:val="none"/>
                <w:lang w:eastAsia="zh-CN" w:bidi="ar"/>
              </w:rPr>
              <w:t>“</w:t>
            </w:r>
            <w:r>
              <w:rPr>
                <w:rFonts w:hint="default" w:ascii="Times New Roman" w:hAnsi="Times New Roman" w:eastAsia="宋体" w:cs="Times New Roman"/>
                <w:b w:val="0"/>
                <w:bCs w:val="0"/>
                <w:color w:val="000000"/>
                <w:kern w:val="0"/>
                <w:sz w:val="20"/>
                <w:szCs w:val="20"/>
                <w:highlight w:val="none"/>
                <w:lang w:bidi="ar"/>
              </w:rPr>
              <w:t>绿色</w:t>
            </w:r>
            <w:r>
              <w:rPr>
                <w:rStyle w:val="23"/>
                <w:rFonts w:hint="eastAsia" w:ascii="Times New Roman" w:hAnsi="Times New Roman" w:eastAsia="宋体" w:cs="Times New Roman"/>
                <w:b w:val="0"/>
                <w:bCs w:val="0"/>
                <w:highlight w:val="none"/>
                <w:lang w:eastAsia="zh-CN" w:bidi="ar"/>
              </w:rPr>
              <w:t>”</w:t>
            </w:r>
            <w:r>
              <w:rPr>
                <w:rFonts w:hint="default" w:ascii="Times New Roman" w:hAnsi="Times New Roman" w:eastAsia="宋体" w:cs="Times New Roman"/>
                <w:b w:val="0"/>
                <w:bCs w:val="0"/>
                <w:color w:val="000000"/>
                <w:kern w:val="0"/>
                <w:sz w:val="20"/>
                <w:szCs w:val="20"/>
                <w:highlight w:val="none"/>
                <w:lang w:bidi="ar"/>
              </w:rPr>
              <w:t>粮库</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2024.7-</w:t>
            </w:r>
          </w:p>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2026.12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Style w:val="23"/>
                <w:rFonts w:hint="default" w:ascii="Times New Roman" w:hAnsi="Times New Roman" w:cs="Times New Roman"/>
                <w:b w:val="0"/>
                <w:bCs w:val="0"/>
                <w:highlight w:val="none"/>
                <w:lang w:bidi="ar"/>
              </w:rPr>
              <w:t>1.对徐洪河库、太平库、峰山库、上塘库、陈圩库5个粮库进行仓储设施绿色提升改造，拆除老旧仓房，新建高大平房仓3.2万平方米（仓容23万吨）；2.推行绿色节能储粮模式，在约8万平方米仓房屋顶进行光伏改造，装机容量约18.29兆瓦</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27000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15000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两山生态集团</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发改局</w:t>
            </w:r>
          </w:p>
        </w:tc>
      </w:tr>
      <w:tr>
        <w:tblPrEx>
          <w:tblCellMar>
            <w:top w:w="0" w:type="dxa"/>
            <w:left w:w="108" w:type="dxa"/>
            <w:bottom w:w="0" w:type="dxa"/>
            <w:right w:w="108" w:type="dxa"/>
          </w:tblCellMar>
        </w:tblPrEx>
        <w:trPr>
          <w:trHeight w:val="114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18"/>
                <w:szCs w:val="18"/>
                <w:highlight w:val="none"/>
              </w:rPr>
            </w:pPr>
            <w:r>
              <w:rPr>
                <w:rFonts w:hint="default" w:ascii="Times New Roman" w:hAnsi="Times New Roman" w:eastAsia="宋体" w:cs="Times New Roman"/>
                <w:b w:val="0"/>
                <w:bCs w:val="0"/>
                <w:color w:val="000000"/>
                <w:kern w:val="0"/>
                <w:sz w:val="18"/>
                <w:szCs w:val="18"/>
                <w:highlight w:val="none"/>
                <w:lang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城东码头提升工程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2023.11-2024.12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新建散货仓库建筑面积1万平方米，新建杂货堆场1.76万平方米，新建港区道路9200平方米，对现有道路面层进行修复，配套建设给排水消防、供电照明、通信控制、防风抑尘网、环保喷淋、雨水收集沉淀、粉尘监测等设施</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 xml:space="preserve">6500 </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6000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交通局</w:t>
            </w:r>
          </w:p>
        </w:tc>
      </w:tr>
      <w:tr>
        <w:tblPrEx>
          <w:tblCellMar>
            <w:top w:w="0" w:type="dxa"/>
            <w:left w:w="108" w:type="dxa"/>
            <w:bottom w:w="0" w:type="dxa"/>
            <w:right w:w="108" w:type="dxa"/>
          </w:tblCellMar>
        </w:tblPrEx>
        <w:trPr>
          <w:trHeight w:val="1141"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eastAsia"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临淮渔味科技孵化中心</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w:t>
            </w:r>
            <w:r>
              <w:rPr>
                <w:rFonts w:hint="default" w:ascii="Times New Roman" w:hAnsi="Times New Roman" w:cs="Times New Roman"/>
                <w:b w:val="0"/>
                <w:bCs w:val="0"/>
                <w:color w:val="000000"/>
                <w:kern w:val="0"/>
                <w:sz w:val="20"/>
                <w:szCs w:val="20"/>
                <w:highlight w:val="none"/>
                <w:lang w:bidi="ar"/>
              </w:rPr>
              <w:t>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2024.3-</w:t>
            </w:r>
          </w:p>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新建厂房及科技孵化中心4.5万平方米，包括科研楼、加工车间、保鲜库、仓储库、冷库、管理用房、污水处理用房等，购置真空包装机、自动搅拌机、分拣机等设备，年产水产品预制菜8000吨</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12000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12000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临淮镇</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eastAsia"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泗洪青阳科技创新孵化产业园</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w:t>
            </w:r>
            <w:r>
              <w:rPr>
                <w:rFonts w:hint="default" w:ascii="Times New Roman" w:hAnsi="Times New Roman" w:cs="Times New Roman"/>
                <w:b w:val="0"/>
                <w:bCs w:val="0"/>
                <w:color w:val="000000"/>
                <w:kern w:val="0"/>
                <w:sz w:val="20"/>
                <w:szCs w:val="20"/>
                <w:highlight w:val="none"/>
                <w:lang w:bidi="ar"/>
              </w:rPr>
              <w:t>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2024.01-2024.12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建筑面积4万平方米，建有标准化厂房、配套建设园区道路及管网等基础设施，主要从事工业类、科技创新类项目的招引</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青阳街道</w:t>
            </w:r>
          </w:p>
        </w:tc>
      </w:tr>
      <w:tr>
        <w:tblPrEx>
          <w:tblCellMar>
            <w:top w:w="0" w:type="dxa"/>
            <w:left w:w="108" w:type="dxa"/>
            <w:bottom w:w="0" w:type="dxa"/>
            <w:right w:w="108" w:type="dxa"/>
          </w:tblCellMar>
        </w:tblPrEx>
        <w:trPr>
          <w:trHeight w:val="90"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eastAsia"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瑶沟科技创新孵化产业园</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w:t>
            </w:r>
            <w:r>
              <w:rPr>
                <w:rFonts w:hint="default" w:ascii="Times New Roman" w:hAnsi="Times New Roman" w:cs="Times New Roman"/>
                <w:b w:val="0"/>
                <w:bCs w:val="0"/>
                <w:color w:val="000000"/>
                <w:kern w:val="0"/>
                <w:sz w:val="20"/>
                <w:szCs w:val="20"/>
                <w:highlight w:val="none"/>
                <w:lang w:bidi="ar"/>
              </w:rPr>
              <w:t>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2024.10-2025.12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项目占地150亩，建设综合服务中心4800平方米、标准化厂房7.7万平方米、道路及其他附属配套设施，主要从事工业类、科技创新类项目的招引</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40000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瑶沟乡</w:t>
            </w:r>
          </w:p>
        </w:tc>
      </w:tr>
      <w:tr>
        <w:tblPrEx>
          <w:tblCellMar>
            <w:top w:w="0" w:type="dxa"/>
            <w:left w:w="108" w:type="dxa"/>
            <w:bottom w:w="0" w:type="dxa"/>
            <w:right w:w="108" w:type="dxa"/>
          </w:tblCellMar>
        </w:tblPrEx>
        <w:trPr>
          <w:trHeight w:val="620"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eastAsia"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大楼街道数字创新综合体</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w:t>
            </w:r>
            <w:r>
              <w:rPr>
                <w:rFonts w:hint="default" w:ascii="Times New Roman" w:hAnsi="Times New Roman" w:cs="Times New Roman"/>
                <w:b w:val="0"/>
                <w:bCs w:val="0"/>
                <w:color w:val="000000"/>
                <w:kern w:val="0"/>
                <w:sz w:val="20"/>
                <w:szCs w:val="20"/>
                <w:highlight w:val="none"/>
                <w:lang w:bidi="ar"/>
              </w:rPr>
              <w:t>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3-</w:t>
            </w:r>
          </w:p>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2024.10</w:t>
            </w:r>
          </w:p>
        </w:tc>
        <w:tc>
          <w:tcPr>
            <w:tcW w:w="5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建筑面积</w:t>
            </w:r>
            <w:r>
              <w:rPr>
                <w:rStyle w:val="23"/>
                <w:rFonts w:hint="default" w:ascii="Times New Roman" w:hAnsi="Times New Roman" w:cs="Times New Roman"/>
                <w:b w:val="0"/>
                <w:bCs w:val="0"/>
                <w:highlight w:val="none"/>
                <w:lang w:bidi="ar"/>
              </w:rPr>
              <w:t>15000</w:t>
            </w:r>
            <w:r>
              <w:rPr>
                <w:rFonts w:hint="default" w:ascii="Times New Roman" w:hAnsi="Times New Roman" w:eastAsia="宋体" w:cs="Times New Roman"/>
                <w:b w:val="0"/>
                <w:bCs w:val="0"/>
                <w:color w:val="000000"/>
                <w:kern w:val="0"/>
                <w:sz w:val="20"/>
                <w:szCs w:val="20"/>
                <w:highlight w:val="none"/>
                <w:lang w:bidi="ar"/>
              </w:rPr>
              <w:t>平方</w:t>
            </w:r>
            <w:r>
              <w:rPr>
                <w:rFonts w:hint="eastAsia" w:ascii="Times New Roman" w:hAnsi="Times New Roman" w:eastAsia="宋体" w:cs="Times New Roman"/>
                <w:b w:val="0"/>
                <w:bCs w:val="0"/>
                <w:color w:val="000000"/>
                <w:kern w:val="0"/>
                <w:sz w:val="20"/>
                <w:szCs w:val="20"/>
                <w:highlight w:val="none"/>
                <w:lang w:eastAsia="zh-CN" w:bidi="ar"/>
              </w:rPr>
              <w:t>米</w:t>
            </w:r>
            <w:r>
              <w:rPr>
                <w:rFonts w:hint="default" w:ascii="Times New Roman" w:hAnsi="Times New Roman" w:eastAsia="宋体" w:cs="Times New Roman"/>
                <w:b w:val="0"/>
                <w:bCs w:val="0"/>
                <w:color w:val="000000"/>
                <w:kern w:val="0"/>
                <w:sz w:val="20"/>
                <w:szCs w:val="20"/>
                <w:highlight w:val="none"/>
                <w:lang w:bidi="ar"/>
              </w:rPr>
              <w:t>综合性的电子商务产业基地</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1600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1600</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大楼街道</w:t>
            </w:r>
          </w:p>
        </w:tc>
      </w:tr>
      <w:tr>
        <w:tblPrEx>
          <w:tblCellMar>
            <w:top w:w="0" w:type="dxa"/>
            <w:left w:w="108" w:type="dxa"/>
            <w:bottom w:w="0" w:type="dxa"/>
            <w:right w:w="108" w:type="dxa"/>
          </w:tblCellMar>
        </w:tblPrEx>
        <w:trPr>
          <w:trHeight w:val="605"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eastAsia"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政务服务中心业务用房工程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w:t>
            </w:r>
          </w:p>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新建综合性多功能政务服务中心2.2万平方米，完善道路、绿化、供电、给排水管网等附属配套工程</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11200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11200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行政审批局</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2"/>
                <w:highlight w:val="none"/>
              </w:rPr>
            </w:pPr>
            <w:r>
              <w:rPr>
                <w:rStyle w:val="36"/>
                <w:rFonts w:hint="default" w:ascii="Times New Roman" w:hAnsi="Times New Roman" w:cs="Times New Roman"/>
                <w:b w:val="0"/>
                <w:bCs w:val="0"/>
                <w:sz w:val="22"/>
                <w:szCs w:val="22"/>
                <w:highlight w:val="none"/>
                <w:lang w:bidi="ar"/>
              </w:rPr>
              <w:t>二、</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2"/>
                <w:highlight w:val="none"/>
              </w:rPr>
            </w:pPr>
            <w:r>
              <w:rPr>
                <w:rStyle w:val="36"/>
                <w:rFonts w:hint="default" w:ascii="Times New Roman" w:hAnsi="Times New Roman" w:cs="Times New Roman"/>
                <w:b w:val="0"/>
                <w:bCs w:val="0"/>
                <w:sz w:val="22"/>
                <w:szCs w:val="22"/>
                <w:highlight w:val="none"/>
                <w:lang w:bidi="ar"/>
              </w:rPr>
              <w:t>生活性服务业</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val="0"/>
                <w:bCs w:val="0"/>
                <w:color w:val="000000"/>
                <w:sz w:val="18"/>
                <w:szCs w:val="18"/>
                <w:highlight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val="0"/>
                <w:bCs w:val="0"/>
                <w:color w:val="000000"/>
                <w:sz w:val="18"/>
                <w:szCs w:val="18"/>
                <w:highlight w:val="none"/>
              </w:rPr>
            </w:pP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rPr>
                <w:rFonts w:hint="default" w:ascii="Times New Roman" w:hAnsi="Times New Roman" w:eastAsia="宋体" w:cs="Times New Roman"/>
                <w:b w:val="0"/>
                <w:bCs w:val="0"/>
                <w:color w:val="000000"/>
                <w:sz w:val="18"/>
                <w:szCs w:val="18"/>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2"/>
                <w:highlight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391900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2"/>
                <w:highlight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170290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000000"/>
                <w:sz w:val="18"/>
                <w:szCs w:val="18"/>
                <w:highlight w:val="none"/>
              </w:rPr>
            </w:pPr>
          </w:p>
        </w:tc>
      </w:tr>
      <w:tr>
        <w:tblPrEx>
          <w:tblCellMar>
            <w:top w:w="0" w:type="dxa"/>
            <w:left w:w="108" w:type="dxa"/>
            <w:bottom w:w="0" w:type="dxa"/>
            <w:right w:w="108" w:type="dxa"/>
          </w:tblCellMar>
        </w:tblPrEx>
        <w:trPr>
          <w:trHeight w:val="150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泗洪洲亿国际汽车城</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2023.</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7-2024.12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面积7.8万平方米，建设用于汽车4S店、品牌直营店、精品二手车（专区）、新能源汽车（专区）、平行进口车、城市展厅、汽车市场区（含钣喷、维修保养、改装等）、互联网体验与品牌直播中心、车管所、金融保险服务中心、汽车物流、配套办公生活区等建筑物</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50000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40000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汽车专办</w:t>
            </w:r>
          </w:p>
        </w:tc>
      </w:tr>
      <w:tr>
        <w:tblPrEx>
          <w:tblCellMar>
            <w:top w:w="0" w:type="dxa"/>
            <w:left w:w="108" w:type="dxa"/>
            <w:bottom w:w="0" w:type="dxa"/>
            <w:right w:w="108" w:type="dxa"/>
          </w:tblCellMar>
        </w:tblPrEx>
        <w:trPr>
          <w:trHeight w:val="155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Style w:val="38"/>
                <w:rFonts w:hint="eastAsia" w:eastAsia="宋体"/>
                <w:b w:val="0"/>
                <w:bCs w:val="0"/>
                <w:sz w:val="20"/>
                <w:szCs w:val="20"/>
                <w:highlight w:val="none"/>
                <w:lang w:eastAsia="zh-CN" w:bidi="ar"/>
              </w:rPr>
              <w:t>“</w:t>
            </w:r>
            <w:r>
              <w:rPr>
                <w:rStyle w:val="37"/>
                <w:rFonts w:hint="default" w:ascii="Times New Roman" w:hAnsi="Times New Roman" w:cs="Times New Roman"/>
                <w:b w:val="0"/>
                <w:bCs w:val="0"/>
                <w:sz w:val="20"/>
                <w:szCs w:val="20"/>
                <w:highlight w:val="none"/>
                <w:lang w:bidi="ar"/>
              </w:rPr>
              <w:t>可爱街区</w:t>
            </w:r>
            <w:r>
              <w:rPr>
                <w:rStyle w:val="38"/>
                <w:rFonts w:hint="eastAsia" w:eastAsia="宋体"/>
                <w:b w:val="0"/>
                <w:bCs w:val="0"/>
                <w:sz w:val="20"/>
                <w:szCs w:val="20"/>
                <w:highlight w:val="none"/>
                <w:lang w:eastAsia="zh-CN" w:bidi="ar"/>
              </w:rPr>
              <w:t>”</w:t>
            </w:r>
            <w:r>
              <w:rPr>
                <w:rStyle w:val="37"/>
                <w:rFonts w:hint="default" w:ascii="Times New Roman" w:hAnsi="Times New Roman" w:cs="Times New Roman"/>
                <w:b w:val="0"/>
                <w:bCs w:val="0"/>
                <w:sz w:val="20"/>
                <w:szCs w:val="20"/>
                <w:highlight w:val="none"/>
                <w:lang w:bidi="ar"/>
              </w:rPr>
              <w:t>示范工程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4-2024.12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对人民南路（健康路-山河路、实小对面）沿街主要建筑外立面改造出新1.8万平方米、店招标牌2000平方米、空调外机罩100余个、造型线条2500米、雨水管道400米、墙体亮化4000米；推进8处</w:t>
            </w:r>
            <w:r>
              <w:rPr>
                <w:rFonts w:hint="eastAsia" w:ascii="Times New Roman" w:hAnsi="Times New Roman" w:eastAsia="宋体" w:cs="Times New Roman"/>
                <w:b w:val="0"/>
                <w:bCs w:val="0"/>
                <w:color w:val="000000"/>
                <w:kern w:val="0"/>
                <w:sz w:val="20"/>
                <w:szCs w:val="20"/>
                <w:highlight w:val="none"/>
                <w:lang w:eastAsia="zh-CN" w:bidi="ar"/>
              </w:rPr>
              <w:t>“</w:t>
            </w:r>
            <w:r>
              <w:rPr>
                <w:rFonts w:hint="default" w:ascii="Times New Roman" w:hAnsi="Times New Roman" w:eastAsia="宋体" w:cs="Times New Roman"/>
                <w:b w:val="0"/>
                <w:bCs w:val="0"/>
                <w:color w:val="000000"/>
                <w:kern w:val="0"/>
                <w:sz w:val="20"/>
                <w:szCs w:val="20"/>
                <w:highlight w:val="none"/>
                <w:lang w:bidi="ar"/>
              </w:rPr>
              <w:t>多杆合一</w:t>
            </w:r>
            <w:r>
              <w:rPr>
                <w:rFonts w:hint="eastAsia" w:ascii="Times New Roman" w:hAnsi="Times New Roman" w:eastAsia="宋体" w:cs="Times New Roman"/>
                <w:b w:val="0"/>
                <w:bCs w:val="0"/>
                <w:color w:val="000000"/>
                <w:kern w:val="0"/>
                <w:sz w:val="20"/>
                <w:szCs w:val="20"/>
                <w:highlight w:val="none"/>
                <w:lang w:eastAsia="zh-CN" w:bidi="ar"/>
              </w:rPr>
              <w:t>”“</w:t>
            </w:r>
            <w:r>
              <w:rPr>
                <w:rFonts w:hint="default" w:ascii="Times New Roman" w:hAnsi="Times New Roman" w:eastAsia="宋体" w:cs="Times New Roman"/>
                <w:b w:val="0"/>
                <w:bCs w:val="0"/>
                <w:color w:val="000000"/>
                <w:kern w:val="0"/>
                <w:sz w:val="20"/>
                <w:szCs w:val="20"/>
                <w:highlight w:val="none"/>
                <w:lang w:bidi="ar"/>
              </w:rPr>
              <w:t>多箱并集</w:t>
            </w:r>
            <w:r>
              <w:rPr>
                <w:rFonts w:hint="eastAsia" w:ascii="Times New Roman" w:hAnsi="Times New Roman" w:eastAsia="宋体" w:cs="Times New Roman"/>
                <w:b w:val="0"/>
                <w:bCs w:val="0"/>
                <w:color w:val="000000"/>
                <w:kern w:val="0"/>
                <w:sz w:val="20"/>
                <w:szCs w:val="20"/>
                <w:highlight w:val="none"/>
                <w:lang w:eastAsia="zh-CN" w:bidi="ar"/>
              </w:rPr>
              <w:t>”</w:t>
            </w:r>
            <w:r>
              <w:rPr>
                <w:rFonts w:hint="default" w:ascii="Times New Roman" w:hAnsi="Times New Roman" w:eastAsia="宋体" w:cs="Times New Roman"/>
                <w:b w:val="0"/>
                <w:bCs w:val="0"/>
                <w:color w:val="000000"/>
                <w:kern w:val="0"/>
                <w:sz w:val="20"/>
                <w:szCs w:val="20"/>
                <w:highlight w:val="none"/>
                <w:lang w:bidi="ar"/>
              </w:rPr>
              <w:t>建设改造，优化改造停车位80个</w:t>
            </w:r>
            <w:r>
              <w:rPr>
                <w:rFonts w:hint="eastAsia" w:ascii="Times New Roman" w:hAnsi="Times New Roman" w:eastAsia="宋体" w:cs="Times New Roman"/>
                <w:b w:val="0"/>
                <w:bCs w:val="0"/>
                <w:color w:val="000000"/>
                <w:kern w:val="0"/>
                <w:sz w:val="20"/>
                <w:szCs w:val="20"/>
                <w:highlight w:val="none"/>
                <w:lang w:val="en-US" w:eastAsia="zh-CN" w:bidi="ar"/>
              </w:rPr>
              <w:t>,</w:t>
            </w:r>
            <w:r>
              <w:rPr>
                <w:rFonts w:hint="default" w:ascii="Times New Roman" w:hAnsi="Times New Roman" w:eastAsia="宋体" w:cs="Times New Roman"/>
                <w:b w:val="0"/>
                <w:bCs w:val="0"/>
                <w:color w:val="000000"/>
                <w:kern w:val="0"/>
                <w:sz w:val="20"/>
                <w:szCs w:val="20"/>
                <w:highlight w:val="none"/>
                <w:lang w:bidi="ar"/>
              </w:rPr>
              <w:t>完善其他基础服务设施</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城管局</w:t>
            </w:r>
          </w:p>
        </w:tc>
      </w:tr>
      <w:tr>
        <w:tblPrEx>
          <w:tblCellMar>
            <w:top w:w="0" w:type="dxa"/>
            <w:left w:w="108" w:type="dxa"/>
            <w:bottom w:w="0" w:type="dxa"/>
            <w:right w:w="108" w:type="dxa"/>
          </w:tblCellMar>
        </w:tblPrEx>
        <w:trPr>
          <w:trHeight w:val="839"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大楼街道农贸市场建设</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7-2025.</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3</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建筑面积约6000平方米，建筑主体3-5层，包含商业、市集等功能</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1050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大楼街道</w:t>
            </w:r>
          </w:p>
        </w:tc>
      </w:tr>
      <w:tr>
        <w:tblPrEx>
          <w:tblCellMar>
            <w:top w:w="0" w:type="dxa"/>
            <w:left w:w="108" w:type="dxa"/>
            <w:bottom w:w="0" w:type="dxa"/>
            <w:right w:w="108" w:type="dxa"/>
          </w:tblCellMar>
        </w:tblPrEx>
        <w:trPr>
          <w:trHeight w:val="695"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嵩山悦府农贸市场提升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8</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对嵩山悦府农贸市场进行装饰装修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 xml:space="preserve">200 </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城投集团</w:t>
            </w:r>
          </w:p>
        </w:tc>
      </w:tr>
      <w:tr>
        <w:tblPrEx>
          <w:tblCellMar>
            <w:top w:w="0" w:type="dxa"/>
            <w:left w:w="108" w:type="dxa"/>
            <w:bottom w:w="0" w:type="dxa"/>
            <w:right w:w="108" w:type="dxa"/>
          </w:tblCellMar>
        </w:tblPrEx>
        <w:trPr>
          <w:trHeight w:val="1409"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大楼街道花鸟市场</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4-2025.</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3</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总建筑面积1.9万平方米，其中花卉类仓储区9669平方米，餐饮用房1016平方米，古玩区931平方米，根雕艺术区907平方米，宠物区（鱼虫、宠物等）2554平方米，小楼居党群服务用房及花卉管理用房4084平方米，配套道路硬化、绿化景观、10KV供电、照明、监控、给排水、消防等</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10000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8000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kern w:val="0"/>
                <w:sz w:val="20"/>
                <w:szCs w:val="20"/>
                <w:highlight w:val="none"/>
                <w:lang w:bidi="ar"/>
              </w:rPr>
            </w:pPr>
            <w:r>
              <w:rPr>
                <w:rFonts w:hint="default" w:ascii="Times New Roman" w:hAnsi="Times New Roman" w:eastAsia="宋体" w:cs="Times New Roman"/>
                <w:b w:val="0"/>
                <w:bCs w:val="0"/>
                <w:color w:val="000000"/>
                <w:kern w:val="0"/>
                <w:sz w:val="20"/>
                <w:szCs w:val="20"/>
                <w:highlight w:val="none"/>
                <w:lang w:bidi="ar"/>
              </w:rPr>
              <w:t>大楼街道</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城投集团</w:t>
            </w:r>
          </w:p>
        </w:tc>
      </w:tr>
      <w:tr>
        <w:tblPrEx>
          <w:tblCellMar>
            <w:top w:w="0" w:type="dxa"/>
            <w:left w:w="108" w:type="dxa"/>
            <w:bottom w:w="0" w:type="dxa"/>
            <w:right w:w="108" w:type="dxa"/>
          </w:tblCellMar>
        </w:tblPrEx>
        <w:trPr>
          <w:trHeight w:val="1555"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Style w:val="23"/>
                <w:rFonts w:hint="eastAsia" w:ascii="Times New Roman" w:hAnsi="Times New Roman" w:eastAsia="宋体" w:cs="Times New Roman"/>
                <w:b w:val="0"/>
                <w:bCs w:val="0"/>
                <w:highlight w:val="none"/>
                <w:lang w:eastAsia="zh-CN" w:bidi="ar"/>
              </w:rPr>
              <w:t>“</w:t>
            </w:r>
            <w:r>
              <w:rPr>
                <w:rFonts w:hint="default" w:ascii="Times New Roman" w:hAnsi="Times New Roman" w:eastAsia="宋体" w:cs="Times New Roman"/>
                <w:b w:val="0"/>
                <w:bCs w:val="0"/>
                <w:color w:val="000000"/>
                <w:kern w:val="0"/>
                <w:sz w:val="20"/>
                <w:szCs w:val="20"/>
                <w:highlight w:val="none"/>
                <w:lang w:bidi="ar"/>
              </w:rPr>
              <w:t>活力街区</w:t>
            </w:r>
            <w:r>
              <w:rPr>
                <w:rStyle w:val="23"/>
                <w:rFonts w:hint="eastAsia" w:ascii="Times New Roman" w:hAnsi="Times New Roman" w:eastAsia="宋体" w:cs="Times New Roman"/>
                <w:b w:val="0"/>
                <w:bCs w:val="0"/>
                <w:highlight w:val="none"/>
                <w:lang w:eastAsia="zh-CN" w:bidi="ar"/>
              </w:rPr>
              <w:t>”</w:t>
            </w:r>
            <w:r>
              <w:rPr>
                <w:rFonts w:hint="default" w:ascii="Times New Roman" w:hAnsi="Times New Roman" w:eastAsia="宋体" w:cs="Times New Roman"/>
                <w:b w:val="0"/>
                <w:bCs w:val="0"/>
                <w:color w:val="000000"/>
                <w:kern w:val="0"/>
                <w:sz w:val="20"/>
                <w:szCs w:val="20"/>
                <w:highlight w:val="none"/>
                <w:lang w:bidi="ar"/>
              </w:rPr>
              <w:t>商业街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2024.10-2025.12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Style w:val="23"/>
                <w:rFonts w:hint="default" w:ascii="Times New Roman" w:hAnsi="Times New Roman" w:cs="Times New Roman"/>
                <w:b w:val="0"/>
                <w:bCs w:val="0"/>
                <w:highlight w:val="none"/>
                <w:lang w:bidi="ar"/>
              </w:rPr>
              <w:t>1.早陈活力街区：总占地面积80亩，总建筑面积1.2万平方米，对湖滨天地项目商铺及周边湖面、景观进行改造；2.青阳巷子：总占地面积123亩，总建筑面积4.29万平方米，对步行街、东风大市场、绿动创意之家等沿街商铺建筑物、绿化、铺装、电气和给排水等进行改造</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25000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9000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城投集团</w:t>
            </w:r>
          </w:p>
        </w:tc>
      </w:tr>
      <w:tr>
        <w:tblPrEx>
          <w:tblCellMar>
            <w:top w:w="0" w:type="dxa"/>
            <w:left w:w="108" w:type="dxa"/>
            <w:bottom w:w="0" w:type="dxa"/>
            <w:right w:w="108" w:type="dxa"/>
          </w:tblCellMar>
        </w:tblPrEx>
        <w:trPr>
          <w:trHeight w:val="98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鸿城壹号商业综合体</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2023.</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建筑面积10万平方米，其中商业面积2.9万平方米，建设27层商住楼3幢（H1#、H2#、H3#），二层商业楼1幢（H4#），3层商业楼1幢（H5#）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45100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25000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住建局</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青阳街道新星夜市</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2023.</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9-2024.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3</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1.沿街商铺：结构形式钢结构，面积1416平方米；2.大排档操作间：结构形式轻型钢结构，面积560平方米；3.管理用房：结构形式轻型钢结构，面积60平方米；4.围墙：长215米，高2.4米，混凝土加砌块砌筑；5</w:t>
            </w:r>
            <w:r>
              <w:rPr>
                <w:rFonts w:hint="eastAsia" w:ascii="Times New Roman" w:hAnsi="Times New Roman" w:eastAsia="宋体" w:cs="Times New Roman"/>
                <w:b w:val="0"/>
                <w:bCs w:val="0"/>
                <w:color w:val="000000"/>
                <w:kern w:val="0"/>
                <w:sz w:val="20"/>
                <w:szCs w:val="20"/>
                <w:highlight w:val="none"/>
                <w:lang w:val="en-US" w:eastAsia="zh-CN" w:bidi="ar"/>
              </w:rPr>
              <w:t>.</w:t>
            </w:r>
            <w:r>
              <w:rPr>
                <w:rFonts w:hint="default" w:ascii="Times New Roman" w:hAnsi="Times New Roman" w:eastAsia="宋体" w:cs="Times New Roman"/>
                <w:b w:val="0"/>
                <w:bCs w:val="0"/>
                <w:color w:val="000000"/>
                <w:kern w:val="0"/>
                <w:sz w:val="20"/>
                <w:szCs w:val="20"/>
                <w:highlight w:val="none"/>
                <w:lang w:bidi="ar"/>
              </w:rPr>
              <w:t>灯光球场：地面面层为硅PU，四周及篮球场与羽毛球场中间设围网；6.场地硬化：夜市区域场地全部硬化，面层12cm厚C25混凝土，表面收光；7.亮化：沿内部道路设置单排双头路灯，中间设置一座高杆灯；8.雨污管网：排水管网，设收油池两处、厕所化粪池一座；9.监控系统；10.室外消防管网</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600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240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青阳街道</w:t>
            </w:r>
          </w:p>
        </w:tc>
      </w:tr>
      <w:tr>
        <w:tblPrEx>
          <w:tblCellMar>
            <w:top w:w="0" w:type="dxa"/>
            <w:left w:w="108" w:type="dxa"/>
            <w:bottom w:w="0" w:type="dxa"/>
            <w:right w:w="108" w:type="dxa"/>
          </w:tblCellMar>
        </w:tblPrEx>
        <w:trPr>
          <w:trHeight w:val="817"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eastAsia"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泗洪双沟酒业12万吨陶坛库</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2023.</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1-2025.12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建筑面积</w:t>
            </w:r>
            <w:r>
              <w:rPr>
                <w:rStyle w:val="23"/>
                <w:rFonts w:hint="default" w:ascii="Times New Roman" w:hAnsi="Times New Roman" w:cs="Times New Roman"/>
                <w:b w:val="0"/>
                <w:bCs w:val="0"/>
                <w:highlight w:val="none"/>
                <w:lang w:bidi="ar"/>
              </w:rPr>
              <w:t>22</w:t>
            </w:r>
            <w:r>
              <w:rPr>
                <w:rFonts w:hint="default" w:ascii="Times New Roman" w:hAnsi="Times New Roman" w:eastAsia="宋体" w:cs="Times New Roman"/>
                <w:b w:val="0"/>
                <w:bCs w:val="0"/>
                <w:color w:val="000000"/>
                <w:kern w:val="0"/>
                <w:sz w:val="20"/>
                <w:szCs w:val="20"/>
                <w:highlight w:val="none"/>
                <w:lang w:bidi="ar"/>
              </w:rPr>
              <w:t>万平方米，建设</w:t>
            </w:r>
            <w:r>
              <w:rPr>
                <w:rStyle w:val="23"/>
                <w:rFonts w:hint="default" w:ascii="Times New Roman" w:hAnsi="Times New Roman" w:cs="Times New Roman"/>
                <w:b w:val="0"/>
                <w:bCs w:val="0"/>
                <w:highlight w:val="none"/>
                <w:lang w:bidi="ar"/>
              </w:rPr>
              <w:t>8</w:t>
            </w:r>
            <w:r>
              <w:rPr>
                <w:rFonts w:hint="default" w:ascii="Times New Roman" w:hAnsi="Times New Roman" w:eastAsia="宋体" w:cs="Times New Roman"/>
                <w:b w:val="0"/>
                <w:bCs w:val="0"/>
                <w:color w:val="000000"/>
                <w:kern w:val="0"/>
                <w:sz w:val="20"/>
                <w:szCs w:val="20"/>
                <w:highlight w:val="none"/>
                <w:lang w:bidi="ar"/>
              </w:rPr>
              <w:t>栋五层陶坛库，主要用于</w:t>
            </w:r>
            <w:r>
              <w:rPr>
                <w:rStyle w:val="23"/>
                <w:rFonts w:hint="default" w:ascii="Times New Roman" w:hAnsi="Times New Roman" w:cs="Times New Roman"/>
                <w:b w:val="0"/>
                <w:bCs w:val="0"/>
                <w:highlight w:val="none"/>
                <w:lang w:bidi="ar"/>
              </w:rPr>
              <w:t>12</w:t>
            </w:r>
            <w:r>
              <w:rPr>
                <w:rFonts w:hint="default" w:ascii="Times New Roman" w:hAnsi="Times New Roman" w:eastAsia="宋体" w:cs="Times New Roman"/>
                <w:b w:val="0"/>
                <w:bCs w:val="0"/>
                <w:color w:val="000000"/>
                <w:kern w:val="0"/>
                <w:sz w:val="20"/>
                <w:szCs w:val="20"/>
                <w:highlight w:val="none"/>
                <w:lang w:bidi="ar"/>
              </w:rPr>
              <w:t>万吨原酒的存储窖藏</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120000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50000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双沟镇</w:t>
            </w:r>
          </w:p>
        </w:tc>
      </w:tr>
      <w:tr>
        <w:tblPrEx>
          <w:tblCellMar>
            <w:top w:w="0" w:type="dxa"/>
            <w:left w:w="108" w:type="dxa"/>
            <w:bottom w:w="0" w:type="dxa"/>
            <w:right w:w="108" w:type="dxa"/>
          </w:tblCellMar>
        </w:tblPrEx>
        <w:trPr>
          <w:trHeight w:val="1127"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泗洪柳山田园旅游</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2023.</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建设儿童游乐区2178平方米、游客集散中心、酒店民宿17993平方米、稻田艺术馆2194平方米、柳山文创空间840平方米，打造集休闲观光、亲子研学、稻田体验等于一体的浪漫田园</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15000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10000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石集乡</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Style w:val="23"/>
                <w:rFonts w:hint="eastAsia" w:ascii="Times New Roman" w:hAnsi="Times New Roman" w:eastAsia="宋体" w:cs="Times New Roman"/>
                <w:b w:val="0"/>
                <w:bCs w:val="0"/>
                <w:highlight w:val="none"/>
                <w:lang w:eastAsia="zh-CN" w:bidi="ar"/>
              </w:rPr>
              <w:t>“</w:t>
            </w:r>
            <w:r>
              <w:rPr>
                <w:rStyle w:val="23"/>
                <w:rFonts w:hint="default" w:ascii="Times New Roman" w:hAnsi="Times New Roman" w:cs="Times New Roman"/>
                <w:b w:val="0"/>
                <w:bCs w:val="0"/>
                <w:highlight w:val="none"/>
                <w:lang w:bidi="ar"/>
              </w:rPr>
              <w:t>乐享公园</w:t>
            </w:r>
            <w:r>
              <w:rPr>
                <w:rStyle w:val="23"/>
                <w:rFonts w:hint="eastAsia" w:ascii="Times New Roman" w:hAnsi="Times New Roman" w:eastAsia="宋体" w:cs="Times New Roman"/>
                <w:b w:val="0"/>
                <w:bCs w:val="0"/>
                <w:highlight w:val="none"/>
                <w:lang w:eastAsia="zh-CN" w:bidi="ar"/>
              </w:rPr>
              <w:t>”</w:t>
            </w:r>
            <w:r>
              <w:rPr>
                <w:rStyle w:val="23"/>
                <w:rFonts w:hint="default" w:ascii="Times New Roman" w:hAnsi="Times New Roman" w:cs="Times New Roman"/>
                <w:b w:val="0"/>
                <w:bCs w:val="0"/>
                <w:highlight w:val="none"/>
                <w:lang w:bidi="ar"/>
              </w:rPr>
              <w:t>建设工程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sz w:val="20"/>
                <w:szCs w:val="20"/>
                <w:highlight w:val="none"/>
              </w:rPr>
              <w:t>口袋公园（十大游园）：按照</w:t>
            </w:r>
            <w:r>
              <w:rPr>
                <w:rFonts w:hint="eastAsia" w:ascii="Times New Roman" w:hAnsi="Times New Roman" w:eastAsia="宋体" w:cs="Times New Roman"/>
                <w:b w:val="0"/>
                <w:bCs w:val="0"/>
                <w:color w:val="000000"/>
                <w:sz w:val="20"/>
                <w:szCs w:val="20"/>
                <w:highlight w:val="none"/>
                <w:lang w:eastAsia="zh-CN"/>
              </w:rPr>
              <w:t>“</w:t>
            </w:r>
            <w:r>
              <w:rPr>
                <w:rFonts w:hint="default" w:ascii="Times New Roman" w:hAnsi="Times New Roman" w:eastAsia="宋体" w:cs="Times New Roman"/>
                <w:b w:val="0"/>
                <w:bCs w:val="0"/>
                <w:color w:val="000000"/>
                <w:sz w:val="20"/>
                <w:szCs w:val="20"/>
                <w:highlight w:val="none"/>
              </w:rPr>
              <w:t>300米见绿、500米见园</w:t>
            </w:r>
            <w:r>
              <w:rPr>
                <w:rFonts w:hint="eastAsia" w:ascii="Times New Roman" w:hAnsi="Times New Roman" w:eastAsia="宋体" w:cs="Times New Roman"/>
                <w:b w:val="0"/>
                <w:bCs w:val="0"/>
                <w:color w:val="000000"/>
                <w:sz w:val="20"/>
                <w:szCs w:val="20"/>
                <w:highlight w:val="none"/>
                <w:lang w:eastAsia="zh-CN"/>
              </w:rPr>
              <w:t>”</w:t>
            </w:r>
            <w:r>
              <w:rPr>
                <w:rFonts w:hint="default" w:ascii="Times New Roman" w:hAnsi="Times New Roman" w:eastAsia="宋体" w:cs="Times New Roman"/>
                <w:b w:val="0"/>
                <w:bCs w:val="0"/>
                <w:color w:val="000000"/>
                <w:sz w:val="20"/>
                <w:szCs w:val="20"/>
                <w:highlight w:val="none"/>
              </w:rPr>
              <w:t>和步行10分钟到达公园绿地的要求进行布局，新改建人才公园、厚德孝园、模范园、清风园、慈善园、趣味园、百草园、石榴园、紫薇园等10大游园，新改建绿地面积约3万平方米</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lang w:val="en-US"/>
              </w:rPr>
            </w:pPr>
            <w:r>
              <w:rPr>
                <w:rFonts w:hint="eastAsia" w:ascii="Times New Roman" w:hAnsi="Times New Roman" w:eastAsia="宋体" w:cs="Times New Roman"/>
                <w:b w:val="0"/>
                <w:bCs w:val="0"/>
                <w:color w:val="000000"/>
                <w:kern w:val="0"/>
                <w:sz w:val="20"/>
                <w:szCs w:val="20"/>
                <w:highlight w:val="none"/>
                <w:lang w:val="en-US" w:eastAsia="zh-CN" w:bidi="ar"/>
              </w:rPr>
              <w:t>1500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lang w:val="en-US"/>
              </w:rPr>
            </w:pPr>
            <w:r>
              <w:rPr>
                <w:rFonts w:hint="eastAsia" w:ascii="Times New Roman" w:hAnsi="Times New Roman" w:eastAsia="宋体" w:cs="Times New Roman"/>
                <w:b w:val="0"/>
                <w:bCs w:val="0"/>
                <w:color w:val="000000"/>
                <w:kern w:val="0"/>
                <w:sz w:val="20"/>
                <w:szCs w:val="20"/>
                <w:highlight w:val="none"/>
                <w:lang w:val="en-US" w:eastAsia="zh-CN" w:bidi="ar"/>
              </w:rPr>
              <w:t>1500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住建局</w:t>
            </w:r>
          </w:p>
        </w:tc>
      </w:tr>
      <w:tr>
        <w:tblPrEx>
          <w:tblCellMar>
            <w:top w:w="0" w:type="dxa"/>
            <w:left w:w="108" w:type="dxa"/>
            <w:bottom w:w="0" w:type="dxa"/>
            <w:right w:w="108" w:type="dxa"/>
          </w:tblCellMar>
        </w:tblPrEx>
        <w:trPr>
          <w:trHeight w:val="1749"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洪泽湖大圆塘垂钓中心配套提升工程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2022.</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1-2025.12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建筑面积</w:t>
            </w:r>
            <w:r>
              <w:rPr>
                <w:rStyle w:val="23"/>
                <w:rFonts w:hint="default" w:ascii="Times New Roman" w:hAnsi="Times New Roman" w:cs="Times New Roman"/>
                <w:b w:val="0"/>
                <w:bCs w:val="0"/>
                <w:highlight w:val="none"/>
                <w:lang w:bidi="ar"/>
              </w:rPr>
              <w:t>4.41</w:t>
            </w:r>
            <w:r>
              <w:rPr>
                <w:rFonts w:hint="default" w:ascii="Times New Roman" w:hAnsi="Times New Roman" w:eastAsia="宋体" w:cs="Times New Roman"/>
                <w:b w:val="0"/>
                <w:bCs w:val="0"/>
                <w:color w:val="000000"/>
                <w:kern w:val="0"/>
                <w:sz w:val="20"/>
                <w:szCs w:val="20"/>
                <w:highlight w:val="none"/>
                <w:lang w:bidi="ar"/>
              </w:rPr>
              <w:t>万平方米，其中文鳐塔</w:t>
            </w:r>
            <w:r>
              <w:rPr>
                <w:rStyle w:val="23"/>
                <w:rFonts w:hint="default" w:ascii="Times New Roman" w:hAnsi="Times New Roman" w:cs="Times New Roman"/>
                <w:b w:val="0"/>
                <w:bCs w:val="0"/>
                <w:highlight w:val="none"/>
                <w:lang w:bidi="ar"/>
              </w:rPr>
              <w:t>2000</w:t>
            </w:r>
            <w:r>
              <w:rPr>
                <w:rFonts w:hint="default" w:ascii="Times New Roman" w:hAnsi="Times New Roman" w:eastAsia="宋体" w:cs="Times New Roman"/>
                <w:b w:val="0"/>
                <w:bCs w:val="0"/>
                <w:color w:val="000000"/>
                <w:kern w:val="0"/>
                <w:sz w:val="20"/>
                <w:szCs w:val="20"/>
                <w:highlight w:val="none"/>
                <w:lang w:bidi="ar"/>
              </w:rPr>
              <w:t>平方米、趣味垂钓馆</w:t>
            </w:r>
            <w:r>
              <w:rPr>
                <w:rStyle w:val="23"/>
                <w:rFonts w:hint="default" w:ascii="Times New Roman" w:hAnsi="Times New Roman" w:cs="Times New Roman"/>
                <w:b w:val="0"/>
                <w:bCs w:val="0"/>
                <w:highlight w:val="none"/>
                <w:lang w:bidi="ar"/>
              </w:rPr>
              <w:t>1</w:t>
            </w:r>
            <w:r>
              <w:rPr>
                <w:rFonts w:hint="default" w:ascii="Times New Roman" w:hAnsi="Times New Roman" w:eastAsia="宋体" w:cs="Times New Roman"/>
                <w:b w:val="0"/>
                <w:bCs w:val="0"/>
                <w:color w:val="000000"/>
                <w:kern w:val="0"/>
                <w:sz w:val="20"/>
                <w:szCs w:val="20"/>
                <w:highlight w:val="none"/>
                <w:lang w:bidi="ar"/>
              </w:rPr>
              <w:t>万平方米、检录楼</w:t>
            </w:r>
            <w:r>
              <w:rPr>
                <w:rStyle w:val="23"/>
                <w:rFonts w:hint="default" w:ascii="Times New Roman" w:hAnsi="Times New Roman" w:cs="Times New Roman"/>
                <w:b w:val="0"/>
                <w:bCs w:val="0"/>
                <w:highlight w:val="none"/>
                <w:lang w:bidi="ar"/>
              </w:rPr>
              <w:t>3500</w:t>
            </w:r>
            <w:r>
              <w:rPr>
                <w:rFonts w:hint="default" w:ascii="Times New Roman" w:hAnsi="Times New Roman" w:eastAsia="宋体" w:cs="Times New Roman"/>
                <w:b w:val="0"/>
                <w:bCs w:val="0"/>
                <w:color w:val="000000"/>
                <w:kern w:val="0"/>
                <w:sz w:val="20"/>
                <w:szCs w:val="20"/>
                <w:highlight w:val="none"/>
                <w:lang w:bidi="ar"/>
              </w:rPr>
              <w:t>平方米、综合楼</w:t>
            </w:r>
            <w:r>
              <w:rPr>
                <w:rStyle w:val="23"/>
                <w:rFonts w:hint="default" w:ascii="Times New Roman" w:hAnsi="Times New Roman" w:cs="Times New Roman"/>
                <w:b w:val="0"/>
                <w:bCs w:val="0"/>
                <w:highlight w:val="none"/>
                <w:lang w:bidi="ar"/>
              </w:rPr>
              <w:t>28600</w:t>
            </w:r>
            <w:r>
              <w:rPr>
                <w:rFonts w:hint="default" w:ascii="Times New Roman" w:hAnsi="Times New Roman" w:eastAsia="宋体" w:cs="Times New Roman"/>
                <w:b w:val="0"/>
                <w:bCs w:val="0"/>
                <w:color w:val="000000"/>
                <w:kern w:val="0"/>
                <w:sz w:val="20"/>
                <w:szCs w:val="20"/>
                <w:highlight w:val="none"/>
                <w:lang w:bidi="ar"/>
              </w:rPr>
              <w:t>平方米，配套建设房车露营地、路亚池、标准垂钓池、监控系统、管线综合系统、广播系统、安防系统、广告系统、园区导视系统、夜间景观照明系统、销售亭、垃圾中转站、卫生间、主副大门、广场、停车场、道路及绿化等</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60000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8000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文旅集团</w:t>
            </w:r>
          </w:p>
        </w:tc>
      </w:tr>
      <w:tr>
        <w:tblPrEx>
          <w:tblCellMar>
            <w:top w:w="0" w:type="dxa"/>
            <w:left w:w="108" w:type="dxa"/>
            <w:bottom w:w="0" w:type="dxa"/>
            <w:right w:w="108" w:type="dxa"/>
          </w:tblCellMar>
        </w:tblPrEx>
        <w:trPr>
          <w:trHeight w:val="1335"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顺山集遗址公园</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6-2025.12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Style w:val="23"/>
                <w:rFonts w:hint="default" w:ascii="Times New Roman" w:hAnsi="Times New Roman" w:cs="Times New Roman"/>
                <w:b w:val="0"/>
                <w:bCs w:val="0"/>
                <w:highlight w:val="none"/>
                <w:lang w:bidi="ar"/>
              </w:rPr>
              <w:t>1.</w:t>
            </w:r>
            <w:r>
              <w:rPr>
                <w:rFonts w:hint="default" w:ascii="Times New Roman" w:hAnsi="Times New Roman" w:eastAsia="宋体" w:cs="Times New Roman"/>
                <w:b w:val="0"/>
                <w:bCs w:val="0"/>
                <w:color w:val="000000"/>
                <w:kern w:val="0"/>
                <w:sz w:val="20"/>
                <w:szCs w:val="20"/>
                <w:highlight w:val="none"/>
                <w:lang w:bidi="ar"/>
              </w:rPr>
              <w:t>遗址本体的保护与展示：规划保护范围，补充考古调查勘探</w:t>
            </w:r>
            <w:r>
              <w:rPr>
                <w:rStyle w:val="23"/>
                <w:rFonts w:hint="default" w:ascii="Times New Roman" w:hAnsi="Times New Roman" w:cs="Times New Roman"/>
                <w:b w:val="0"/>
                <w:bCs w:val="0"/>
                <w:highlight w:val="none"/>
                <w:lang w:bidi="ar"/>
              </w:rPr>
              <w:t>43.29</w:t>
            </w:r>
            <w:r>
              <w:rPr>
                <w:rFonts w:hint="default" w:ascii="Times New Roman" w:hAnsi="Times New Roman" w:eastAsia="宋体" w:cs="Times New Roman"/>
                <w:b w:val="0"/>
                <w:bCs w:val="0"/>
                <w:color w:val="000000"/>
                <w:kern w:val="0"/>
                <w:sz w:val="20"/>
                <w:szCs w:val="20"/>
                <w:highlight w:val="none"/>
                <w:lang w:bidi="ar"/>
              </w:rPr>
              <w:t>万平方米；</w:t>
            </w:r>
            <w:r>
              <w:rPr>
                <w:rStyle w:val="23"/>
                <w:rFonts w:hint="default" w:ascii="Times New Roman" w:hAnsi="Times New Roman" w:cs="Times New Roman"/>
                <w:b w:val="0"/>
                <w:bCs w:val="0"/>
                <w:highlight w:val="none"/>
                <w:lang w:bidi="ar"/>
              </w:rPr>
              <w:t>2.</w:t>
            </w:r>
            <w:r>
              <w:rPr>
                <w:rFonts w:hint="default" w:ascii="Times New Roman" w:hAnsi="Times New Roman" w:eastAsia="宋体" w:cs="Times New Roman"/>
                <w:b w:val="0"/>
                <w:bCs w:val="0"/>
                <w:color w:val="000000"/>
                <w:kern w:val="0"/>
                <w:sz w:val="20"/>
                <w:szCs w:val="20"/>
                <w:highlight w:val="none"/>
                <w:lang w:bidi="ar"/>
              </w:rPr>
              <w:t>文博展示利用：顺山集文化博物馆、研学中心、淮河民俗文化馆建设等；</w:t>
            </w:r>
            <w:r>
              <w:rPr>
                <w:rStyle w:val="23"/>
                <w:rFonts w:hint="default" w:ascii="Times New Roman" w:hAnsi="Times New Roman" w:cs="Times New Roman"/>
                <w:b w:val="0"/>
                <w:bCs w:val="0"/>
                <w:highlight w:val="none"/>
                <w:lang w:bidi="ar"/>
              </w:rPr>
              <w:t>3.</w:t>
            </w:r>
            <w:r>
              <w:rPr>
                <w:rFonts w:hint="default" w:ascii="Times New Roman" w:hAnsi="Times New Roman" w:eastAsia="宋体" w:cs="Times New Roman"/>
                <w:b w:val="0"/>
                <w:bCs w:val="0"/>
                <w:color w:val="000000"/>
                <w:kern w:val="0"/>
                <w:sz w:val="20"/>
                <w:szCs w:val="20"/>
                <w:highlight w:val="none"/>
                <w:lang w:bidi="ar"/>
              </w:rPr>
              <w:t>配套设施：服务用房、生态湿地工程、道路设施、广场硬化、围墙等</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28000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5000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文广旅局</w:t>
            </w:r>
          </w:p>
        </w:tc>
      </w:tr>
      <w:tr>
        <w:tblPrEx>
          <w:tblCellMar>
            <w:top w:w="0" w:type="dxa"/>
            <w:left w:w="108" w:type="dxa"/>
            <w:bottom w:w="0" w:type="dxa"/>
            <w:right w:w="108" w:type="dxa"/>
          </w:tblCellMar>
        </w:tblPrEx>
        <w:trPr>
          <w:trHeight w:val="1271"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醉猿双沟酒文化旅游基地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7-2026.</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6</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建筑面积</w:t>
            </w:r>
            <w:r>
              <w:rPr>
                <w:rStyle w:val="23"/>
                <w:rFonts w:hint="default" w:ascii="Times New Roman" w:hAnsi="Times New Roman" w:cs="Times New Roman"/>
                <w:b w:val="0"/>
                <w:bCs w:val="0"/>
                <w:highlight w:val="none"/>
                <w:lang w:bidi="ar"/>
              </w:rPr>
              <w:t>2.8</w:t>
            </w:r>
            <w:r>
              <w:rPr>
                <w:rFonts w:hint="default" w:ascii="Times New Roman" w:hAnsi="Times New Roman" w:eastAsia="宋体" w:cs="Times New Roman"/>
                <w:b w:val="0"/>
                <w:bCs w:val="0"/>
                <w:color w:val="000000"/>
                <w:kern w:val="0"/>
                <w:sz w:val="20"/>
                <w:szCs w:val="20"/>
                <w:highlight w:val="none"/>
                <w:lang w:bidi="ar"/>
              </w:rPr>
              <w:t>万平方米，其中地上总建筑面积</w:t>
            </w:r>
            <w:r>
              <w:rPr>
                <w:rStyle w:val="23"/>
                <w:rFonts w:hint="default" w:ascii="Times New Roman" w:hAnsi="Times New Roman" w:cs="Times New Roman"/>
                <w:b w:val="0"/>
                <w:bCs w:val="0"/>
                <w:highlight w:val="none"/>
                <w:lang w:bidi="ar"/>
              </w:rPr>
              <w:t>2</w:t>
            </w:r>
            <w:r>
              <w:rPr>
                <w:rFonts w:hint="default" w:ascii="Times New Roman" w:hAnsi="Times New Roman" w:eastAsia="宋体" w:cs="Times New Roman"/>
                <w:b w:val="0"/>
                <w:bCs w:val="0"/>
                <w:color w:val="000000"/>
                <w:kern w:val="0"/>
                <w:sz w:val="20"/>
                <w:szCs w:val="20"/>
                <w:highlight w:val="none"/>
                <w:lang w:bidi="ar"/>
              </w:rPr>
              <w:t>万平方米、地下建筑面积</w:t>
            </w:r>
            <w:r>
              <w:rPr>
                <w:rStyle w:val="23"/>
                <w:rFonts w:hint="default" w:ascii="Times New Roman" w:hAnsi="Times New Roman" w:cs="Times New Roman"/>
                <w:b w:val="0"/>
                <w:bCs w:val="0"/>
                <w:highlight w:val="none"/>
                <w:lang w:bidi="ar"/>
              </w:rPr>
              <w:t>8000</w:t>
            </w:r>
            <w:r>
              <w:rPr>
                <w:rFonts w:hint="default" w:ascii="Times New Roman" w:hAnsi="Times New Roman" w:eastAsia="宋体" w:cs="Times New Roman"/>
                <w:b w:val="0"/>
                <w:bCs w:val="0"/>
                <w:color w:val="000000"/>
                <w:kern w:val="0"/>
                <w:sz w:val="20"/>
                <w:szCs w:val="20"/>
                <w:highlight w:val="none"/>
                <w:lang w:bidi="ar"/>
              </w:rPr>
              <w:t>平方米，包括游客中心、博物馆、会议中心、餐饮中心、酒店住宿中心等，可提供参观、旅游、会议、住宿和餐饮等多功能服务</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5000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双沟镇</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湿地景区绿化及设施提升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5</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Style w:val="23"/>
                <w:rFonts w:hint="default" w:ascii="Times New Roman" w:hAnsi="Times New Roman" w:cs="Times New Roman"/>
                <w:b w:val="0"/>
                <w:bCs w:val="0"/>
                <w:highlight w:val="none"/>
                <w:lang w:bidi="ar"/>
              </w:rPr>
              <w:t>1.</w:t>
            </w:r>
            <w:r>
              <w:rPr>
                <w:rFonts w:hint="default" w:ascii="Times New Roman" w:hAnsi="Times New Roman" w:eastAsia="宋体" w:cs="Times New Roman"/>
                <w:b w:val="0"/>
                <w:bCs w:val="0"/>
                <w:color w:val="000000"/>
                <w:kern w:val="0"/>
                <w:sz w:val="20"/>
                <w:szCs w:val="20"/>
                <w:highlight w:val="none"/>
                <w:lang w:bidi="ar"/>
              </w:rPr>
              <w:t>栽植生态苗木</w:t>
            </w:r>
            <w:r>
              <w:rPr>
                <w:rStyle w:val="23"/>
                <w:rFonts w:hint="default" w:ascii="Times New Roman" w:hAnsi="Times New Roman" w:cs="Times New Roman"/>
                <w:b w:val="0"/>
                <w:bCs w:val="0"/>
                <w:highlight w:val="none"/>
                <w:lang w:bidi="ar"/>
              </w:rPr>
              <w:t>120</w:t>
            </w:r>
            <w:r>
              <w:rPr>
                <w:rFonts w:hint="default" w:ascii="Times New Roman" w:hAnsi="Times New Roman" w:eastAsia="宋体" w:cs="Times New Roman"/>
                <w:b w:val="0"/>
                <w:bCs w:val="0"/>
                <w:color w:val="000000"/>
                <w:kern w:val="0"/>
                <w:sz w:val="20"/>
                <w:szCs w:val="20"/>
                <w:highlight w:val="none"/>
                <w:lang w:bidi="ar"/>
              </w:rPr>
              <w:t>亩，收割芦苇</w:t>
            </w:r>
            <w:r>
              <w:rPr>
                <w:rStyle w:val="23"/>
                <w:rFonts w:hint="default" w:ascii="Times New Roman" w:hAnsi="Times New Roman" w:cs="Times New Roman"/>
                <w:b w:val="0"/>
                <w:bCs w:val="0"/>
                <w:highlight w:val="none"/>
                <w:lang w:bidi="ar"/>
              </w:rPr>
              <w:t>2000</w:t>
            </w:r>
            <w:r>
              <w:rPr>
                <w:rFonts w:hint="default" w:ascii="Times New Roman" w:hAnsi="Times New Roman" w:eastAsia="宋体" w:cs="Times New Roman"/>
                <w:b w:val="0"/>
                <w:bCs w:val="0"/>
                <w:color w:val="000000"/>
                <w:kern w:val="0"/>
                <w:sz w:val="20"/>
                <w:szCs w:val="20"/>
                <w:highlight w:val="none"/>
                <w:lang w:bidi="ar"/>
              </w:rPr>
              <w:t>亩，荷花生态修复</w:t>
            </w:r>
            <w:r>
              <w:rPr>
                <w:rStyle w:val="23"/>
                <w:rFonts w:hint="default" w:ascii="Times New Roman" w:hAnsi="Times New Roman" w:cs="Times New Roman"/>
                <w:b w:val="0"/>
                <w:bCs w:val="0"/>
                <w:highlight w:val="none"/>
                <w:lang w:bidi="ar"/>
              </w:rPr>
              <w:t>3000</w:t>
            </w:r>
            <w:r>
              <w:rPr>
                <w:rFonts w:hint="default" w:ascii="Times New Roman" w:hAnsi="Times New Roman" w:eastAsia="宋体" w:cs="Times New Roman"/>
                <w:b w:val="0"/>
                <w:bCs w:val="0"/>
                <w:color w:val="000000"/>
                <w:kern w:val="0"/>
                <w:sz w:val="20"/>
                <w:szCs w:val="20"/>
                <w:highlight w:val="none"/>
                <w:lang w:bidi="ar"/>
              </w:rPr>
              <w:t>亩，在十里芳菲</w:t>
            </w:r>
            <w:r>
              <w:rPr>
                <w:rStyle w:val="23"/>
                <w:rFonts w:hint="default" w:ascii="Times New Roman" w:hAnsi="Times New Roman" w:cs="Times New Roman"/>
                <w:b w:val="0"/>
                <w:bCs w:val="0"/>
                <w:highlight w:val="none"/>
                <w:lang w:bidi="ar"/>
              </w:rPr>
              <w:t>·</w:t>
            </w:r>
            <w:r>
              <w:rPr>
                <w:rFonts w:hint="default" w:ascii="Times New Roman" w:hAnsi="Times New Roman" w:eastAsia="宋体" w:cs="Times New Roman"/>
                <w:b w:val="0"/>
                <w:bCs w:val="0"/>
                <w:color w:val="000000"/>
                <w:kern w:val="0"/>
                <w:sz w:val="20"/>
                <w:szCs w:val="20"/>
                <w:highlight w:val="none"/>
                <w:lang w:bidi="ar"/>
              </w:rPr>
              <w:t>浪漫花海种植郁金香、二月兰、兰香芥、油菜花等花卉</w:t>
            </w:r>
            <w:r>
              <w:rPr>
                <w:rStyle w:val="23"/>
                <w:rFonts w:hint="default" w:ascii="Times New Roman" w:hAnsi="Times New Roman" w:cs="Times New Roman"/>
                <w:b w:val="0"/>
                <w:bCs w:val="0"/>
                <w:highlight w:val="none"/>
                <w:lang w:bidi="ar"/>
              </w:rPr>
              <w:t>15</w:t>
            </w:r>
            <w:r>
              <w:rPr>
                <w:rFonts w:hint="default" w:ascii="Times New Roman" w:hAnsi="Times New Roman" w:eastAsia="宋体" w:cs="Times New Roman"/>
                <w:b w:val="0"/>
                <w:bCs w:val="0"/>
                <w:color w:val="000000"/>
                <w:kern w:val="0"/>
                <w:sz w:val="20"/>
                <w:szCs w:val="20"/>
                <w:highlight w:val="none"/>
                <w:lang w:bidi="ar"/>
              </w:rPr>
              <w:t>万平方米；</w:t>
            </w:r>
            <w:r>
              <w:rPr>
                <w:rStyle w:val="23"/>
                <w:rFonts w:hint="default" w:ascii="Times New Roman" w:hAnsi="Times New Roman" w:cs="Times New Roman"/>
                <w:b w:val="0"/>
                <w:bCs w:val="0"/>
                <w:highlight w:val="none"/>
                <w:lang w:bidi="ar"/>
              </w:rPr>
              <w:t>2.</w:t>
            </w:r>
            <w:r>
              <w:rPr>
                <w:rFonts w:hint="default" w:ascii="Times New Roman" w:hAnsi="Times New Roman" w:eastAsia="宋体" w:cs="Times New Roman"/>
                <w:b w:val="0"/>
                <w:bCs w:val="0"/>
                <w:color w:val="000000"/>
                <w:kern w:val="0"/>
                <w:sz w:val="20"/>
                <w:szCs w:val="20"/>
                <w:highlight w:val="none"/>
                <w:lang w:bidi="ar"/>
              </w:rPr>
              <w:t>购置</w:t>
            </w:r>
            <w:r>
              <w:rPr>
                <w:rStyle w:val="23"/>
                <w:rFonts w:hint="default" w:ascii="Times New Roman" w:hAnsi="Times New Roman" w:cs="Times New Roman"/>
                <w:b w:val="0"/>
                <w:bCs w:val="0"/>
                <w:highlight w:val="none"/>
                <w:lang w:bidi="ar"/>
              </w:rPr>
              <w:t>1</w:t>
            </w:r>
            <w:r>
              <w:rPr>
                <w:rFonts w:hint="default" w:ascii="Times New Roman" w:hAnsi="Times New Roman" w:eastAsia="宋体" w:cs="Times New Roman"/>
                <w:b w:val="0"/>
                <w:bCs w:val="0"/>
                <w:color w:val="000000"/>
                <w:kern w:val="0"/>
                <w:sz w:val="20"/>
                <w:szCs w:val="20"/>
                <w:highlight w:val="none"/>
                <w:lang w:bidi="ar"/>
              </w:rPr>
              <w:t>辆</w:t>
            </w:r>
            <w:r>
              <w:rPr>
                <w:rStyle w:val="23"/>
                <w:rFonts w:hint="default" w:ascii="Times New Roman" w:hAnsi="Times New Roman" w:cs="Times New Roman"/>
                <w:b w:val="0"/>
                <w:bCs w:val="0"/>
                <w:highlight w:val="none"/>
                <w:lang w:bidi="ar"/>
              </w:rPr>
              <w:t>72</w:t>
            </w:r>
            <w:r>
              <w:rPr>
                <w:rFonts w:hint="default" w:ascii="Times New Roman" w:hAnsi="Times New Roman" w:eastAsia="宋体" w:cs="Times New Roman"/>
                <w:b w:val="0"/>
                <w:bCs w:val="0"/>
                <w:color w:val="000000"/>
                <w:kern w:val="0"/>
                <w:sz w:val="20"/>
                <w:szCs w:val="20"/>
                <w:highlight w:val="none"/>
                <w:lang w:bidi="ar"/>
              </w:rPr>
              <w:t>座电动小火车、</w:t>
            </w:r>
            <w:r>
              <w:rPr>
                <w:rStyle w:val="23"/>
                <w:rFonts w:hint="default" w:ascii="Times New Roman" w:hAnsi="Times New Roman" w:cs="Times New Roman"/>
                <w:b w:val="0"/>
                <w:bCs w:val="0"/>
                <w:highlight w:val="none"/>
                <w:lang w:bidi="ar"/>
              </w:rPr>
              <w:t>2</w:t>
            </w:r>
            <w:r>
              <w:rPr>
                <w:rFonts w:hint="default" w:ascii="Times New Roman" w:hAnsi="Times New Roman" w:eastAsia="宋体" w:cs="Times New Roman"/>
                <w:b w:val="0"/>
                <w:bCs w:val="0"/>
                <w:color w:val="000000"/>
                <w:kern w:val="0"/>
                <w:sz w:val="20"/>
                <w:szCs w:val="20"/>
                <w:highlight w:val="none"/>
                <w:lang w:bidi="ar"/>
              </w:rPr>
              <w:t>艘</w:t>
            </w:r>
            <w:r>
              <w:rPr>
                <w:rStyle w:val="23"/>
                <w:rFonts w:hint="default" w:ascii="Times New Roman" w:hAnsi="Times New Roman" w:cs="Times New Roman"/>
                <w:b w:val="0"/>
                <w:bCs w:val="0"/>
                <w:highlight w:val="none"/>
                <w:lang w:bidi="ar"/>
              </w:rPr>
              <w:t>48</w:t>
            </w:r>
            <w:r>
              <w:rPr>
                <w:rFonts w:hint="default" w:ascii="Times New Roman" w:hAnsi="Times New Roman" w:eastAsia="宋体" w:cs="Times New Roman"/>
                <w:b w:val="0"/>
                <w:bCs w:val="0"/>
                <w:color w:val="000000"/>
                <w:kern w:val="0"/>
                <w:sz w:val="20"/>
                <w:szCs w:val="20"/>
                <w:highlight w:val="none"/>
                <w:lang w:bidi="ar"/>
              </w:rPr>
              <w:t>客座游船、</w:t>
            </w:r>
            <w:r>
              <w:rPr>
                <w:rStyle w:val="23"/>
                <w:rFonts w:hint="default" w:ascii="Times New Roman" w:hAnsi="Times New Roman" w:cs="Times New Roman"/>
                <w:b w:val="0"/>
                <w:bCs w:val="0"/>
                <w:highlight w:val="none"/>
                <w:lang w:bidi="ar"/>
              </w:rPr>
              <w:t>10</w:t>
            </w:r>
            <w:r>
              <w:rPr>
                <w:rFonts w:hint="default" w:ascii="Times New Roman" w:hAnsi="Times New Roman" w:eastAsia="宋体" w:cs="Times New Roman"/>
                <w:b w:val="0"/>
                <w:bCs w:val="0"/>
                <w:color w:val="000000"/>
                <w:kern w:val="0"/>
                <w:sz w:val="20"/>
                <w:szCs w:val="20"/>
                <w:highlight w:val="none"/>
                <w:lang w:bidi="ar"/>
              </w:rPr>
              <w:t>辆四轮电动车、</w:t>
            </w:r>
            <w:r>
              <w:rPr>
                <w:rStyle w:val="23"/>
                <w:rFonts w:hint="default" w:ascii="Times New Roman" w:hAnsi="Times New Roman" w:cs="Times New Roman"/>
                <w:b w:val="0"/>
                <w:bCs w:val="0"/>
                <w:highlight w:val="none"/>
                <w:lang w:bidi="ar"/>
              </w:rPr>
              <w:t>2</w:t>
            </w:r>
            <w:r>
              <w:rPr>
                <w:rFonts w:hint="default" w:ascii="Times New Roman" w:hAnsi="Times New Roman" w:eastAsia="宋体" w:cs="Times New Roman"/>
                <w:b w:val="0"/>
                <w:bCs w:val="0"/>
                <w:color w:val="000000"/>
                <w:kern w:val="0"/>
                <w:sz w:val="20"/>
                <w:szCs w:val="20"/>
                <w:highlight w:val="none"/>
                <w:lang w:bidi="ar"/>
              </w:rPr>
              <w:t>辆</w:t>
            </w:r>
            <w:r>
              <w:rPr>
                <w:rStyle w:val="23"/>
                <w:rFonts w:hint="default" w:ascii="Times New Roman" w:hAnsi="Times New Roman" w:cs="Times New Roman"/>
                <w:b w:val="0"/>
                <w:bCs w:val="0"/>
                <w:highlight w:val="none"/>
                <w:lang w:bidi="ar"/>
              </w:rPr>
              <w:t>15</w:t>
            </w:r>
            <w:r>
              <w:rPr>
                <w:rFonts w:hint="default" w:ascii="Times New Roman" w:hAnsi="Times New Roman" w:eastAsia="宋体" w:cs="Times New Roman"/>
                <w:b w:val="0"/>
                <w:bCs w:val="0"/>
                <w:color w:val="000000"/>
                <w:kern w:val="0"/>
                <w:sz w:val="20"/>
                <w:szCs w:val="20"/>
                <w:highlight w:val="none"/>
                <w:lang w:bidi="ar"/>
              </w:rPr>
              <w:t>座接待车、</w:t>
            </w:r>
            <w:r>
              <w:rPr>
                <w:rStyle w:val="23"/>
                <w:rFonts w:hint="default" w:ascii="Times New Roman" w:hAnsi="Times New Roman" w:cs="Times New Roman"/>
                <w:b w:val="0"/>
                <w:bCs w:val="0"/>
                <w:highlight w:val="none"/>
                <w:lang w:bidi="ar"/>
              </w:rPr>
              <w:t>1</w:t>
            </w:r>
            <w:r>
              <w:rPr>
                <w:rFonts w:hint="default" w:ascii="Times New Roman" w:hAnsi="Times New Roman" w:eastAsia="宋体" w:cs="Times New Roman"/>
                <w:b w:val="0"/>
                <w:bCs w:val="0"/>
                <w:color w:val="000000"/>
                <w:kern w:val="0"/>
                <w:sz w:val="20"/>
                <w:szCs w:val="20"/>
                <w:highlight w:val="none"/>
                <w:lang w:bidi="ar"/>
              </w:rPr>
              <w:t>辆安保巡逻车辆、</w:t>
            </w:r>
            <w:r>
              <w:rPr>
                <w:rStyle w:val="23"/>
                <w:rFonts w:hint="default" w:ascii="Times New Roman" w:hAnsi="Times New Roman" w:cs="Times New Roman"/>
                <w:b w:val="0"/>
                <w:bCs w:val="0"/>
                <w:highlight w:val="none"/>
                <w:lang w:bidi="ar"/>
              </w:rPr>
              <w:t>20</w:t>
            </w:r>
            <w:r>
              <w:rPr>
                <w:rFonts w:hint="default" w:ascii="Times New Roman" w:hAnsi="Times New Roman" w:eastAsia="宋体" w:cs="Times New Roman"/>
                <w:b w:val="0"/>
                <w:bCs w:val="0"/>
                <w:color w:val="000000"/>
                <w:kern w:val="0"/>
                <w:sz w:val="20"/>
                <w:szCs w:val="20"/>
                <w:highlight w:val="none"/>
                <w:lang w:bidi="ar"/>
              </w:rPr>
              <w:t>辆自行车、</w:t>
            </w:r>
            <w:r>
              <w:rPr>
                <w:rStyle w:val="23"/>
                <w:rFonts w:hint="default" w:ascii="Times New Roman" w:hAnsi="Times New Roman" w:cs="Times New Roman"/>
                <w:b w:val="0"/>
                <w:bCs w:val="0"/>
                <w:highlight w:val="none"/>
                <w:lang w:bidi="ar"/>
              </w:rPr>
              <w:t>100</w:t>
            </w:r>
            <w:r>
              <w:rPr>
                <w:rFonts w:hint="default" w:ascii="Times New Roman" w:hAnsi="Times New Roman" w:eastAsia="宋体" w:cs="Times New Roman"/>
                <w:b w:val="0"/>
                <w:bCs w:val="0"/>
                <w:color w:val="000000"/>
                <w:kern w:val="0"/>
                <w:sz w:val="20"/>
                <w:szCs w:val="20"/>
                <w:highlight w:val="none"/>
                <w:lang w:bidi="ar"/>
              </w:rPr>
              <w:t>辆扫码电动车、</w:t>
            </w:r>
            <w:r>
              <w:rPr>
                <w:rStyle w:val="23"/>
                <w:rFonts w:hint="default" w:ascii="Times New Roman" w:hAnsi="Times New Roman" w:cs="Times New Roman"/>
                <w:b w:val="0"/>
                <w:bCs w:val="0"/>
                <w:highlight w:val="none"/>
                <w:lang w:bidi="ar"/>
              </w:rPr>
              <w:t>1</w:t>
            </w:r>
            <w:r>
              <w:rPr>
                <w:rFonts w:hint="default" w:ascii="Times New Roman" w:hAnsi="Times New Roman" w:eastAsia="宋体" w:cs="Times New Roman"/>
                <w:b w:val="0"/>
                <w:bCs w:val="0"/>
                <w:color w:val="000000"/>
                <w:kern w:val="0"/>
                <w:sz w:val="20"/>
                <w:szCs w:val="20"/>
                <w:highlight w:val="none"/>
                <w:lang w:bidi="ar"/>
              </w:rPr>
              <w:t>套水云间服务设备等，游船码头增加</w:t>
            </w:r>
            <w:r>
              <w:rPr>
                <w:rStyle w:val="23"/>
                <w:rFonts w:hint="default" w:ascii="Times New Roman" w:hAnsi="Times New Roman" w:cs="Times New Roman"/>
                <w:b w:val="0"/>
                <w:bCs w:val="0"/>
                <w:highlight w:val="none"/>
                <w:lang w:bidi="ar"/>
              </w:rPr>
              <w:t>10</w:t>
            </w:r>
            <w:r>
              <w:rPr>
                <w:rFonts w:hint="default" w:ascii="Times New Roman" w:hAnsi="Times New Roman" w:eastAsia="宋体" w:cs="Times New Roman"/>
                <w:b w:val="0"/>
                <w:bCs w:val="0"/>
                <w:color w:val="000000"/>
                <w:kern w:val="0"/>
                <w:sz w:val="20"/>
                <w:szCs w:val="20"/>
                <w:highlight w:val="none"/>
                <w:lang w:bidi="ar"/>
              </w:rPr>
              <w:t>个停船泊位，开发文创产品等</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eastAsia" w:ascii="Times New Roman" w:hAnsi="Times New Roman" w:eastAsia="宋体" w:cs="Times New Roman"/>
                <w:b w:val="0"/>
                <w:bCs w:val="0"/>
                <w:color w:val="000000"/>
                <w:kern w:val="0"/>
                <w:sz w:val="20"/>
                <w:szCs w:val="20"/>
                <w:highlight w:val="none"/>
                <w:lang w:eastAsia="zh-CN" w:bidi="ar"/>
              </w:rPr>
              <w:t>旅游</w:t>
            </w:r>
            <w:r>
              <w:rPr>
                <w:rFonts w:hint="default" w:ascii="Times New Roman" w:hAnsi="Times New Roman" w:eastAsia="宋体" w:cs="Times New Roman"/>
                <w:b w:val="0"/>
                <w:bCs w:val="0"/>
                <w:color w:val="000000"/>
                <w:kern w:val="0"/>
                <w:sz w:val="20"/>
                <w:szCs w:val="20"/>
                <w:highlight w:val="none"/>
                <w:lang w:bidi="ar"/>
              </w:rPr>
              <w:t>度假区</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临淮渔村农旅项目</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2023.05-2024.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7</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yellow"/>
              </w:rPr>
            </w:pPr>
            <w:r>
              <w:rPr>
                <w:rFonts w:hint="eastAsia" w:ascii="Times New Roman" w:hAnsi="Times New Roman" w:eastAsia="宋体" w:cs="Times New Roman"/>
                <w:b w:val="0"/>
                <w:bCs w:val="0"/>
                <w:color w:val="000000"/>
                <w:kern w:val="0"/>
                <w:sz w:val="20"/>
                <w:szCs w:val="20"/>
                <w:highlight w:val="none"/>
                <w:lang w:bidi="ar"/>
              </w:rPr>
              <w:t>项目总面积17954平方米，依托临淮渔村农房项目及北侧</w:t>
            </w:r>
            <w:r>
              <w:rPr>
                <w:rFonts w:hint="eastAsia" w:ascii="Times New Roman" w:hAnsi="Times New Roman" w:eastAsia="宋体" w:cs="Times New Roman"/>
                <w:b w:val="0"/>
                <w:bCs w:val="0"/>
                <w:color w:val="000000"/>
                <w:kern w:val="0"/>
                <w:sz w:val="20"/>
                <w:szCs w:val="20"/>
                <w:highlight w:val="none"/>
                <w:lang w:eastAsia="zh-CN" w:bidi="ar"/>
              </w:rPr>
              <w:t>“</w:t>
            </w:r>
            <w:r>
              <w:rPr>
                <w:rFonts w:hint="eastAsia" w:ascii="Times New Roman" w:hAnsi="Times New Roman" w:eastAsia="宋体" w:cs="Times New Roman"/>
                <w:b w:val="0"/>
                <w:bCs w:val="0"/>
                <w:color w:val="000000"/>
                <w:kern w:val="0"/>
                <w:sz w:val="20"/>
                <w:szCs w:val="20"/>
                <w:highlight w:val="none"/>
                <w:lang w:bidi="ar"/>
              </w:rPr>
              <w:t>大圆塘垂钓中心</w:t>
            </w:r>
            <w:r>
              <w:rPr>
                <w:rFonts w:hint="eastAsia" w:ascii="Times New Roman" w:hAnsi="Times New Roman" w:eastAsia="宋体" w:cs="Times New Roman"/>
                <w:b w:val="0"/>
                <w:bCs w:val="0"/>
                <w:color w:val="000000"/>
                <w:kern w:val="0"/>
                <w:sz w:val="20"/>
                <w:szCs w:val="20"/>
                <w:highlight w:val="none"/>
                <w:lang w:eastAsia="zh-CN" w:bidi="ar"/>
              </w:rPr>
              <w:t>”</w:t>
            </w:r>
            <w:r>
              <w:rPr>
                <w:rFonts w:hint="eastAsia" w:ascii="Times New Roman" w:hAnsi="Times New Roman" w:eastAsia="宋体" w:cs="Times New Roman"/>
                <w:b w:val="0"/>
                <w:bCs w:val="0"/>
                <w:color w:val="000000"/>
                <w:kern w:val="0"/>
                <w:sz w:val="20"/>
                <w:szCs w:val="20"/>
                <w:highlight w:val="none"/>
                <w:lang w:bidi="ar"/>
              </w:rPr>
              <w:t>的产业优势，以临淮郡文化、渔家文化为基底，重点发展休闲旅游产业链，</w:t>
            </w:r>
            <w:r>
              <w:rPr>
                <w:rFonts w:hint="eastAsia" w:ascii="Times New Roman" w:hAnsi="Times New Roman" w:eastAsia="宋体" w:cs="Times New Roman"/>
                <w:b w:val="0"/>
                <w:bCs w:val="0"/>
                <w:color w:val="000000"/>
                <w:kern w:val="0"/>
                <w:sz w:val="20"/>
                <w:szCs w:val="20"/>
                <w:highlight w:val="none"/>
                <w:lang w:eastAsia="zh-CN" w:bidi="ar"/>
              </w:rPr>
              <w:t>建设</w:t>
            </w:r>
            <w:r>
              <w:rPr>
                <w:rFonts w:hint="eastAsia" w:ascii="Times New Roman" w:hAnsi="Times New Roman" w:eastAsia="宋体" w:cs="Times New Roman"/>
                <w:b w:val="0"/>
                <w:bCs w:val="0"/>
                <w:color w:val="000000"/>
                <w:kern w:val="0"/>
                <w:sz w:val="20"/>
                <w:szCs w:val="20"/>
                <w:highlight w:val="none"/>
                <w:lang w:bidi="ar"/>
              </w:rPr>
              <w:t>渔家美食和特色民宿一条街，打造集</w:t>
            </w:r>
            <w:r>
              <w:rPr>
                <w:rFonts w:hint="eastAsia" w:ascii="Times New Roman" w:hAnsi="Times New Roman" w:eastAsia="宋体" w:cs="Times New Roman"/>
                <w:b w:val="0"/>
                <w:bCs w:val="0"/>
                <w:color w:val="000000"/>
                <w:kern w:val="0"/>
                <w:sz w:val="20"/>
                <w:szCs w:val="20"/>
                <w:highlight w:val="none"/>
                <w:lang w:eastAsia="zh-CN" w:bidi="ar"/>
              </w:rPr>
              <w:t>“</w:t>
            </w:r>
            <w:r>
              <w:rPr>
                <w:rFonts w:hint="eastAsia" w:ascii="Times New Roman" w:hAnsi="Times New Roman" w:eastAsia="宋体" w:cs="Times New Roman"/>
                <w:b w:val="0"/>
                <w:bCs w:val="0"/>
                <w:color w:val="000000"/>
                <w:kern w:val="0"/>
                <w:sz w:val="20"/>
                <w:szCs w:val="20"/>
                <w:highlight w:val="none"/>
                <w:lang w:bidi="ar"/>
              </w:rPr>
              <w:t>渔村产业兴农、休闲观光旅游、新型社区示范</w:t>
            </w:r>
            <w:r>
              <w:rPr>
                <w:rFonts w:hint="eastAsia" w:ascii="Times New Roman" w:hAnsi="Times New Roman" w:eastAsia="宋体" w:cs="Times New Roman"/>
                <w:b w:val="0"/>
                <w:bCs w:val="0"/>
                <w:color w:val="000000"/>
                <w:kern w:val="0"/>
                <w:sz w:val="20"/>
                <w:szCs w:val="20"/>
                <w:highlight w:val="none"/>
                <w:lang w:eastAsia="zh-CN" w:bidi="ar"/>
              </w:rPr>
              <w:t>”</w:t>
            </w:r>
            <w:r>
              <w:rPr>
                <w:rFonts w:hint="eastAsia" w:ascii="Times New Roman" w:hAnsi="Times New Roman" w:eastAsia="宋体" w:cs="Times New Roman"/>
                <w:b w:val="0"/>
                <w:bCs w:val="0"/>
                <w:color w:val="000000"/>
                <w:kern w:val="0"/>
                <w:sz w:val="20"/>
                <w:szCs w:val="20"/>
                <w:highlight w:val="none"/>
                <w:lang w:bidi="ar"/>
              </w:rPr>
              <w:t>为一体的农旅项目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5200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1200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临淮镇</w:t>
            </w:r>
          </w:p>
        </w:tc>
      </w:tr>
      <w:tr>
        <w:tblPrEx>
          <w:tblCellMar>
            <w:top w:w="0" w:type="dxa"/>
            <w:left w:w="108" w:type="dxa"/>
            <w:bottom w:w="0" w:type="dxa"/>
            <w:right w:w="108" w:type="dxa"/>
          </w:tblCellMar>
        </w:tblPrEx>
        <w:trPr>
          <w:trHeight w:val="1026"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殡仪馆提升改造</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1-2025.12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对守灵告别厅进行改造，拆除现有开票室、静轩厅、小守灵厅，新建6个集中守灵厅，新建可安装3台火化炉的火化间，搬迁配电房，绿化庭院</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3800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1800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民政局</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大楼街道医院建设工程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7-2025.10</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建筑总面积</w:t>
            </w:r>
            <w:r>
              <w:rPr>
                <w:rStyle w:val="23"/>
                <w:rFonts w:hint="default" w:ascii="Times New Roman" w:hAnsi="Times New Roman" w:cs="Times New Roman"/>
                <w:b w:val="0"/>
                <w:bCs w:val="0"/>
                <w:highlight w:val="none"/>
                <w:lang w:bidi="ar"/>
              </w:rPr>
              <w:t>1.3</w:t>
            </w:r>
            <w:r>
              <w:rPr>
                <w:rFonts w:hint="default" w:ascii="Times New Roman" w:hAnsi="Times New Roman" w:eastAsia="宋体" w:cs="Times New Roman"/>
                <w:b w:val="0"/>
                <w:bCs w:val="0"/>
                <w:color w:val="000000"/>
                <w:kern w:val="0"/>
                <w:sz w:val="20"/>
                <w:szCs w:val="20"/>
                <w:highlight w:val="none"/>
                <w:lang w:bidi="ar"/>
              </w:rPr>
              <w:t>万平方米，新建门诊综合楼、康养楼、精神科病房楼、食堂、门卫等</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3000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1300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大楼街道</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2"/>
                <w:highlight w:val="none"/>
              </w:rPr>
            </w:pPr>
            <w:r>
              <w:rPr>
                <w:rStyle w:val="36"/>
                <w:rFonts w:hint="default" w:ascii="Times New Roman" w:hAnsi="Times New Roman" w:cs="Times New Roman"/>
                <w:b w:val="0"/>
                <w:bCs w:val="0"/>
                <w:sz w:val="22"/>
                <w:szCs w:val="22"/>
                <w:highlight w:val="none"/>
                <w:lang w:bidi="ar"/>
              </w:rPr>
              <w:t>三、</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2"/>
                <w:highlight w:val="none"/>
              </w:rPr>
            </w:pPr>
            <w:r>
              <w:rPr>
                <w:rStyle w:val="36"/>
                <w:rFonts w:hint="default" w:ascii="Times New Roman" w:hAnsi="Times New Roman" w:cs="Times New Roman"/>
                <w:b w:val="0"/>
                <w:bCs w:val="0"/>
                <w:sz w:val="22"/>
                <w:szCs w:val="22"/>
                <w:highlight w:val="none"/>
                <w:lang w:bidi="ar"/>
              </w:rPr>
              <w:t>新兴服务业</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val="0"/>
                <w:bCs w:val="0"/>
                <w:color w:val="000000"/>
                <w:sz w:val="18"/>
                <w:szCs w:val="18"/>
                <w:highlight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val="0"/>
                <w:bCs w:val="0"/>
                <w:color w:val="000000"/>
                <w:sz w:val="18"/>
                <w:szCs w:val="18"/>
                <w:highlight w:val="none"/>
              </w:rPr>
            </w:pP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rPr>
                <w:rFonts w:hint="default" w:ascii="Times New Roman" w:hAnsi="Times New Roman" w:eastAsia="宋体" w:cs="Times New Roman"/>
                <w:b w:val="0"/>
                <w:bCs w:val="0"/>
                <w:color w:val="000000"/>
                <w:sz w:val="18"/>
                <w:szCs w:val="18"/>
                <w:highlight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2"/>
                <w:highlight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34100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2"/>
                <w:highlight w:val="none"/>
              </w:rPr>
            </w:pPr>
            <w:r>
              <w:rPr>
                <w:rFonts w:hint="default" w:ascii="Times New Roman" w:hAnsi="Times New Roman" w:eastAsia="宋体" w:cs="Times New Roman"/>
                <w:b w:val="0"/>
                <w:bCs w:val="0"/>
                <w:i w:val="0"/>
                <w:iCs w:val="0"/>
                <w:color w:val="000000"/>
                <w:kern w:val="0"/>
                <w:sz w:val="22"/>
                <w:szCs w:val="22"/>
                <w:highlight w:val="none"/>
                <w:u w:val="none"/>
                <w:lang w:val="en-US" w:eastAsia="zh-CN" w:bidi="ar"/>
              </w:rPr>
              <w:t>32800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000000"/>
                <w:sz w:val="18"/>
                <w:szCs w:val="18"/>
                <w:highlight w:val="none"/>
              </w:rPr>
            </w:pPr>
          </w:p>
        </w:tc>
      </w:tr>
      <w:tr>
        <w:tblPrEx>
          <w:tblCellMar>
            <w:top w:w="0" w:type="dxa"/>
            <w:left w:w="108" w:type="dxa"/>
            <w:bottom w:w="0" w:type="dxa"/>
            <w:right w:w="108" w:type="dxa"/>
          </w:tblCellMar>
        </w:tblPrEx>
        <w:trPr>
          <w:trHeight w:val="1127"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联通公司通信网络建设</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Style w:val="23"/>
                <w:rFonts w:hint="default" w:ascii="Times New Roman" w:hAnsi="Times New Roman" w:cs="Times New Roman"/>
                <w:b w:val="0"/>
                <w:bCs w:val="0"/>
                <w:highlight w:val="none"/>
                <w:lang w:bidi="ar"/>
              </w:rPr>
              <w:t>1.无线网共享投资建设L900 4G基站及室内分布系统52座</w:t>
            </w:r>
            <w:r>
              <w:rPr>
                <w:rStyle w:val="23"/>
                <w:rFonts w:hint="eastAsia" w:ascii="Times New Roman" w:hAnsi="Times New Roman" w:eastAsia="宋体" w:cs="Times New Roman"/>
                <w:b w:val="0"/>
                <w:bCs w:val="0"/>
                <w:highlight w:val="none"/>
                <w:lang w:eastAsia="zh-CN" w:bidi="ar"/>
              </w:rPr>
              <w:t>；</w:t>
            </w:r>
            <w:r>
              <w:rPr>
                <w:rStyle w:val="23"/>
                <w:rFonts w:hint="default" w:ascii="Times New Roman" w:hAnsi="Times New Roman" w:cs="Times New Roman"/>
                <w:b w:val="0"/>
                <w:bCs w:val="0"/>
                <w:highlight w:val="none"/>
                <w:lang w:bidi="ar"/>
              </w:rPr>
              <w:t>2.传送网投资大网光缆及迁改线路敷设300KM，配套完成智能城域网布局开通，业务搭载</w:t>
            </w:r>
            <w:r>
              <w:rPr>
                <w:rStyle w:val="23"/>
                <w:rFonts w:hint="eastAsia" w:ascii="Times New Roman" w:hAnsi="Times New Roman" w:eastAsia="宋体" w:cs="Times New Roman"/>
                <w:b w:val="0"/>
                <w:bCs w:val="0"/>
                <w:highlight w:val="none"/>
                <w:lang w:eastAsia="zh-CN" w:bidi="ar"/>
              </w:rPr>
              <w:t>；</w:t>
            </w:r>
            <w:r>
              <w:rPr>
                <w:rStyle w:val="23"/>
                <w:rFonts w:hint="default" w:ascii="Times New Roman" w:hAnsi="Times New Roman" w:cs="Times New Roman"/>
                <w:b w:val="0"/>
                <w:bCs w:val="0"/>
                <w:highlight w:val="none"/>
                <w:lang w:bidi="ar"/>
              </w:rPr>
              <w:t>3.驻地网宽带小区改造及农房项目投资小区30个以上</w:t>
            </w:r>
            <w:r>
              <w:rPr>
                <w:rStyle w:val="23"/>
                <w:rFonts w:hint="eastAsia" w:ascii="Times New Roman" w:hAnsi="Times New Roman" w:eastAsia="宋体" w:cs="Times New Roman"/>
                <w:b w:val="0"/>
                <w:bCs w:val="0"/>
                <w:highlight w:val="none"/>
                <w:lang w:eastAsia="zh-CN" w:bidi="ar"/>
              </w:rPr>
              <w:t>；</w:t>
            </w:r>
            <w:r>
              <w:rPr>
                <w:rStyle w:val="23"/>
                <w:rFonts w:hint="default" w:ascii="Times New Roman" w:hAnsi="Times New Roman" w:cs="Times New Roman"/>
                <w:b w:val="0"/>
                <w:bCs w:val="0"/>
                <w:highlight w:val="none"/>
                <w:lang w:bidi="ar"/>
              </w:rPr>
              <w:t>4.新建局房1-3座，配套升级4座</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3500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3500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联通公司</w:t>
            </w:r>
          </w:p>
        </w:tc>
      </w:tr>
      <w:tr>
        <w:tblPrEx>
          <w:tblCellMar>
            <w:top w:w="0" w:type="dxa"/>
            <w:left w:w="108" w:type="dxa"/>
            <w:bottom w:w="0" w:type="dxa"/>
            <w:right w:w="108" w:type="dxa"/>
          </w:tblCellMar>
        </w:tblPrEx>
        <w:trPr>
          <w:trHeight w:val="857"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电信公司5G通信网络建设工程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电信5G通信网络建设：完成105座5G基站建设；完成20座4G补盲建设，布放中继光缆175KM</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4500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4500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电信公司</w:t>
            </w:r>
          </w:p>
        </w:tc>
      </w:tr>
      <w:tr>
        <w:tblPrEx>
          <w:tblCellMar>
            <w:top w:w="0" w:type="dxa"/>
            <w:left w:w="108" w:type="dxa"/>
            <w:bottom w:w="0" w:type="dxa"/>
            <w:right w:w="108" w:type="dxa"/>
          </w:tblCellMar>
        </w:tblPrEx>
        <w:trPr>
          <w:trHeight w:val="1138"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移动公司通信建设工程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1-2024.12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完成50座5G基站建设（包括洪泽湖区域5G覆盖）；完成28座4G补盲建设；布放中继光缆530KM；千兆宽带新建覆盖居民0.8万户；千兆宽带以及高清电视设备升级</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kern w:val="0"/>
                <w:sz w:val="20"/>
                <w:szCs w:val="20"/>
                <w:highlight w:val="none"/>
                <w:lang w:val="en-US" w:eastAsia="zh-CN" w:bidi="ar"/>
              </w:rPr>
              <w:t>8000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kern w:val="0"/>
                <w:sz w:val="20"/>
                <w:szCs w:val="20"/>
                <w:highlight w:val="none"/>
                <w:lang w:val="en-US" w:eastAsia="zh-CN" w:bidi="ar"/>
              </w:rPr>
              <w:t>8000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移动公司</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公交便民提优工程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6-2024.12</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Style w:val="23"/>
                <w:rFonts w:hint="default" w:ascii="Times New Roman" w:hAnsi="Times New Roman" w:cs="Times New Roman"/>
                <w:b w:val="0"/>
                <w:bCs w:val="0"/>
                <w:highlight w:val="none"/>
                <w:lang w:bidi="ar"/>
              </w:rPr>
              <w:t>双沟公交首末站工程：项目占地30亩，包括客运站建设、维修中心、配电房、卫生间、门卫建筑、停车场、洗车场、充电桩、检测线等工程；公交智能三期工程：完善电子站台50个</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1600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1600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交通局</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城区小区非机动车充电桩建设工程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8-2025.</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6</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完成城区60个居民小区非机动车充电桩建设</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13000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 xml:space="preserve">13000 </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城投集团</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eastAsia"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明德紫郡人才公寓</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续建</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2023.</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7-2024.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3</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项目总建筑面积1.35万平方米，1-3层装修为人才服务中心，4-15层为公寓，共计204个房间</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700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城投集团</w:t>
            </w:r>
          </w:p>
        </w:tc>
      </w:tr>
      <w:tr>
        <w:tblPrEx>
          <w:tblCellMar>
            <w:top w:w="0" w:type="dxa"/>
            <w:left w:w="108" w:type="dxa"/>
            <w:bottom w:w="0" w:type="dxa"/>
            <w:right w:w="108" w:type="dxa"/>
          </w:tblCellMar>
        </w:tblPrEx>
        <w:trPr>
          <w:trHeight w:val="23" w:hRule="atLeast"/>
          <w:jc w:val="center"/>
        </w:trPr>
        <w:tc>
          <w:tcPr>
            <w:tcW w:w="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eastAsia" w:ascii="Times New Roman" w:hAnsi="Times New Roman" w:eastAsia="宋体" w:cs="Times New Roman"/>
                <w:b w:val="0"/>
                <w:bCs w:val="0"/>
                <w:color w:val="000000"/>
                <w:sz w:val="20"/>
                <w:szCs w:val="20"/>
                <w:highlight w:val="none"/>
                <w:lang w:val="en-US" w:eastAsia="zh-CN"/>
              </w:rPr>
            </w:pPr>
            <w:r>
              <w:rPr>
                <w:rFonts w:hint="eastAsia" w:ascii="Times New Roman" w:hAnsi="Times New Roman" w:eastAsia="宋体" w:cs="Times New Roman"/>
                <w:b w:val="0"/>
                <w:bCs w:val="0"/>
                <w:color w:val="000000"/>
                <w:sz w:val="20"/>
                <w:szCs w:val="20"/>
                <w:highlight w:val="none"/>
                <w:lang w:val="en-US" w:eastAsia="zh-CN"/>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泗洪县人力资源市场暨零工市场</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新</w:t>
            </w:r>
            <w:r>
              <w:rPr>
                <w:rFonts w:hint="default" w:ascii="Times New Roman" w:hAnsi="Times New Roman" w:cs="Times New Roman"/>
                <w:b w:val="0"/>
                <w:bCs w:val="0"/>
                <w:color w:val="000000"/>
                <w:kern w:val="0"/>
                <w:sz w:val="20"/>
                <w:szCs w:val="20"/>
                <w:highlight w:val="none"/>
                <w:lang w:bidi="ar"/>
              </w:rPr>
              <w:t>开工</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2024.01-2024.</w:t>
            </w:r>
            <w:r>
              <w:rPr>
                <w:rFonts w:hint="eastAsia" w:ascii="Times New Roman" w:hAnsi="Times New Roman" w:eastAsia="宋体" w:cs="Times New Roman"/>
                <w:b w:val="0"/>
                <w:bCs w:val="0"/>
                <w:color w:val="000000"/>
                <w:kern w:val="0"/>
                <w:sz w:val="20"/>
                <w:szCs w:val="20"/>
                <w:highlight w:val="none"/>
                <w:lang w:val="en-US" w:eastAsia="zh-CN" w:bidi="ar"/>
              </w:rPr>
              <w:t>0</w:t>
            </w:r>
            <w:r>
              <w:rPr>
                <w:rFonts w:hint="default" w:ascii="Times New Roman" w:hAnsi="Times New Roman" w:eastAsia="宋体" w:cs="Times New Roman"/>
                <w:b w:val="0"/>
                <w:bCs w:val="0"/>
                <w:color w:val="000000"/>
                <w:kern w:val="0"/>
                <w:sz w:val="20"/>
                <w:szCs w:val="20"/>
                <w:highlight w:val="none"/>
                <w:lang w:bidi="ar"/>
              </w:rPr>
              <w:t>6</w:t>
            </w:r>
          </w:p>
        </w:tc>
        <w:tc>
          <w:tcPr>
            <w:tcW w:w="54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adjustRightInd w:val="0"/>
              <w:snapToGrid w:val="0"/>
              <w:spacing w:before="0" w:beforeAutospacing="0" w:after="0" w:afterAutospacing="0" w:line="240" w:lineRule="exact"/>
              <w:ind w:left="0" w:right="0"/>
              <w:jc w:val="left"/>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建设</w:t>
            </w:r>
            <w:r>
              <w:rPr>
                <w:rStyle w:val="23"/>
                <w:rFonts w:hint="default" w:ascii="Times New Roman" w:hAnsi="Times New Roman" w:cs="Times New Roman"/>
                <w:b w:val="0"/>
                <w:bCs w:val="0"/>
                <w:highlight w:val="none"/>
                <w:lang w:bidi="ar"/>
              </w:rPr>
              <w:t>2000</w:t>
            </w:r>
            <w:r>
              <w:rPr>
                <w:rFonts w:hint="default" w:ascii="Times New Roman" w:hAnsi="Times New Roman" w:eastAsia="宋体" w:cs="Times New Roman"/>
                <w:b w:val="0"/>
                <w:bCs w:val="0"/>
                <w:color w:val="000000"/>
                <w:kern w:val="0"/>
                <w:sz w:val="20"/>
                <w:szCs w:val="20"/>
                <w:highlight w:val="none"/>
                <w:lang w:bidi="ar"/>
              </w:rPr>
              <w:t>平米零工客栈</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1500</w:t>
            </w:r>
          </w:p>
        </w:tc>
        <w:tc>
          <w:tcPr>
            <w:tcW w:w="16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color w:val="000000"/>
                <w:sz w:val="20"/>
                <w:szCs w:val="20"/>
                <w:highlight w:val="none"/>
              </w:rPr>
            </w:pPr>
            <w:r>
              <w:rPr>
                <w:rFonts w:hint="default" w:ascii="Times New Roman" w:hAnsi="Times New Roman" w:eastAsia="宋体" w:cs="Times New Roman"/>
                <w:b w:val="0"/>
                <w:bCs w:val="0"/>
                <w:color w:val="000000"/>
                <w:kern w:val="0"/>
                <w:sz w:val="20"/>
                <w:szCs w:val="20"/>
                <w:highlight w:val="none"/>
                <w:lang w:bidi="ar"/>
              </w:rPr>
              <w:t>重岗街道</w:t>
            </w:r>
          </w:p>
        </w:tc>
      </w:tr>
    </w:tbl>
    <w:p>
      <w:pPr>
        <w:rPr>
          <w:highlight w:val="none"/>
        </w:rPr>
        <w:sectPr>
          <w:pgSz w:w="16838" w:h="11906" w:orient="landscape"/>
          <w:pgMar w:top="1531" w:right="2041" w:bottom="1531" w:left="2041" w:header="851" w:footer="992" w:gutter="0"/>
          <w:pgNumType w:fmt="decimal"/>
          <w:cols w:space="425" w:num="1"/>
          <w:docGrid w:type="lines" w:linePitch="312" w:charSpace="0"/>
        </w:sectPr>
      </w:pPr>
    </w:p>
    <w:p>
      <w:pPr>
        <w:pStyle w:val="6"/>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bookmarkStart w:id="0" w:name="_GoBack"/>
      <w:bookmarkEnd w:id="0"/>
    </w:p>
    <w:p>
      <w:pPr>
        <w:rPr>
          <w:highlight w:val="none"/>
        </w:rPr>
      </w:pPr>
    </w:p>
    <w:p>
      <w:pPr>
        <w:pStyle w:val="2"/>
        <w:rPr>
          <w:highlight w:val="none"/>
        </w:rPr>
      </w:pPr>
    </w:p>
    <w:p>
      <w:pPr>
        <w:rPr>
          <w:highlight w:val="none"/>
        </w:rPr>
      </w:pPr>
    </w:p>
    <w:p>
      <w:pPr>
        <w:bidi w:val="0"/>
      </w:pPr>
    </w:p>
    <w:p>
      <w:pPr>
        <w:bidi w:val="0"/>
      </w:pPr>
    </w:p>
    <w:p>
      <w:pPr>
        <w:bidi w:val="0"/>
        <w:rPr>
          <w:rFonts w:hint="default"/>
          <w:lang w:val="en-US" w:eastAsia="zh-CN"/>
        </w:rPr>
      </w:pPr>
    </w:p>
    <w:p>
      <w:pPr>
        <w:keepNext w:val="0"/>
        <w:keepLines w:val="0"/>
        <w:pageBreakBefore w:val="0"/>
        <w:widowControl/>
        <w:pBdr>
          <w:top w:val="single" w:color="auto" w:sz="6" w:space="1"/>
          <w:bottom w:val="single" w:color="auto" w:sz="6" w:space="0"/>
        </w:pBdr>
        <w:kinsoku/>
        <w:wordWrap/>
        <w:overflowPunct/>
        <w:topLinePunct w:val="0"/>
        <w:autoSpaceDE/>
        <w:autoSpaceDN/>
        <w:bidi w:val="0"/>
        <w:adjustRightInd/>
        <w:snapToGrid w:val="0"/>
        <w:spacing w:after="0" w:line="480" w:lineRule="exact"/>
        <w:ind w:left="0" w:leftChars="0" w:firstLine="238" w:firstLineChars="85"/>
        <w:textAlignment w:val="auto"/>
      </w:pPr>
      <w:r>
        <w:rPr>
          <w:rFonts w:hint="default" w:ascii="Times New Roman" w:hAnsi="Times New Roman" w:eastAsia="方正仿宋_GBK" w:cs="Times New Roman"/>
          <w:sz w:val="28"/>
          <w:szCs w:val="28"/>
        </w:rPr>
        <w:t xml:space="preserve">泗洪县人民政府办公室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w:t>
      </w:r>
      <w:r>
        <w:rPr>
          <w:rFonts w:hint="default" w:ascii="Times New Roman" w:hAnsi="Times New Roman" w:eastAsia="方正仿宋_GBK" w:cs="Times New Roman"/>
          <w:sz w:val="28"/>
          <w:szCs w:val="28"/>
          <w:lang w:val="en-US" w:eastAsia="zh-CN"/>
        </w:rPr>
        <w:t>02</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10</w:t>
      </w:r>
      <w:r>
        <w:rPr>
          <w:rFonts w:hint="default" w:ascii="Times New Roman" w:hAnsi="Times New Roman" w:eastAsia="方正仿宋_GBK" w:cs="Times New Roman"/>
          <w:sz w:val="28"/>
          <w:szCs w:val="28"/>
        </w:rPr>
        <w:t>日印发</w:t>
      </w:r>
    </w:p>
    <w:sectPr>
      <w:footerReference r:id="rId4" w:type="default"/>
      <w:pgSz w:w="11906" w:h="16838"/>
      <w:pgMar w:top="2041" w:right="1531" w:bottom="2041" w:left="1531" w:header="851" w:footer="1474"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592FCD5-1B06-4BC2-9FA3-08F5B7B1713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embedRegular r:id="rId2" w:fontKey="{6B45D0FD-C372-4921-B393-36FAFE888FA6}"/>
  </w:font>
  <w:font w:name="方正小标宋简体">
    <w:panose1 w:val="03000509000000000000"/>
    <w:charset w:val="86"/>
    <w:family w:val="script"/>
    <w:pitch w:val="default"/>
    <w:sig w:usb0="00000001" w:usb1="080E0000" w:usb2="00000000" w:usb3="00000000" w:csb0="00040000" w:csb1="00000000"/>
    <w:embedRegular r:id="rId3" w:fontKey="{E4448C59-69D3-4B7C-A2AE-A4221BB71EB2}"/>
  </w:font>
  <w:font w:name="方正仿宋_GBK">
    <w:panose1 w:val="03000509000000000000"/>
    <w:charset w:val="86"/>
    <w:family w:val="script"/>
    <w:pitch w:val="default"/>
    <w:sig w:usb0="00000001" w:usb1="080E0000" w:usb2="00000000" w:usb3="00000000" w:csb0="00040000" w:csb1="00000000"/>
    <w:embedRegular r:id="rId4" w:fontKey="{D1E12A33-1B65-42F5-9D30-35FE92D88643}"/>
  </w:font>
  <w:font w:name="方正小标宋_GBK">
    <w:panose1 w:val="03000509000000000000"/>
    <w:charset w:val="86"/>
    <w:family w:val="script"/>
    <w:pitch w:val="default"/>
    <w:sig w:usb0="00000001" w:usb1="080E0000" w:usb2="00000000" w:usb3="00000000" w:csb0="00040000" w:csb1="00000000"/>
    <w:embedRegular r:id="rId5" w:fontKey="{1A8B7F1E-664A-4696-9D3A-4BFF91C52487}"/>
  </w:font>
  <w:font w:name="方正仿宋_GB2312">
    <w:altName w:val="仿宋"/>
    <w:panose1 w:val="02000000000000000000"/>
    <w:charset w:val="86"/>
    <w:family w:val="auto"/>
    <w:pitch w:val="default"/>
    <w:sig w:usb0="00000000" w:usb1="00000000" w:usb2="00000012" w:usb3="00000000" w:csb0="00040001" w:csb1="00000000"/>
    <w:embedRegular r:id="rId6" w:fontKey="{64643A20-3965-4702-B9B9-752099E7017D}"/>
  </w:font>
  <w:font w:name="方正楷体_GBK">
    <w:panose1 w:val="03000509000000000000"/>
    <w:charset w:val="86"/>
    <w:family w:val="script"/>
    <w:pitch w:val="default"/>
    <w:sig w:usb0="00000001" w:usb1="080E0000" w:usb2="00000000" w:usb3="00000000" w:csb0="00040000" w:csb1="00000000"/>
    <w:embedRegular r:id="rId7" w:fontKey="{D8A6A63E-92F4-47D6-A9D2-433C0C219257}"/>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keepNext w:val="0"/>
                            <w:keepLines w:val="0"/>
                            <w:pageBreakBefore w:val="0"/>
                            <w:widowControl w:val="0"/>
                            <w:kinsoku/>
                            <w:wordWrap/>
                            <w:overflowPunct/>
                            <w:topLinePunct w:val="0"/>
                            <w:bidi w:val="0"/>
                            <w:adjustRightInd/>
                            <w:snapToGrid w:val="0"/>
                            <w:ind w:left="315" w:leftChars="150" w:right="315" w:rightChars="150"/>
                            <w:textAlignment w:val="auto"/>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10"/>
                      <w:keepNext w:val="0"/>
                      <w:keepLines w:val="0"/>
                      <w:pageBreakBefore w:val="0"/>
                      <w:widowControl w:val="0"/>
                      <w:kinsoku/>
                      <w:wordWrap/>
                      <w:overflowPunct/>
                      <w:topLinePunct w:val="0"/>
                      <w:bidi w:val="0"/>
                      <w:adjustRightInd/>
                      <w:snapToGrid w:val="0"/>
                      <w:ind w:left="315" w:leftChars="150" w:right="315" w:rightChars="150"/>
                      <w:textAlignment w:val="auto"/>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keepNext w:val="0"/>
                            <w:keepLines w:val="0"/>
                            <w:pageBreakBefore w:val="0"/>
                            <w:widowControl w:val="0"/>
                            <w:kinsoku/>
                            <w:wordWrap/>
                            <w:overflowPunct/>
                            <w:topLinePunct w:val="0"/>
                            <w:bidi w:val="0"/>
                            <w:adjustRightInd/>
                            <w:snapToGrid w:val="0"/>
                            <w:ind w:left="315" w:leftChars="150" w:right="315" w:rightChars="150"/>
                            <w:textAlignment w:val="auto"/>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cYOQyAgAAY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Zg8y8JG&#10;by2P0FEeb5eHADmTylGUTgl0Jx4we6lPlz2Jw/3nOUU9/TcsH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Zxg5DICAABjBAAADgAAAAAAAAABACAAAAAfAQAAZHJzL2Uyb0RvYy54bWxQSwUG&#10;AAAAAAYABgBZAQAAwwUAAAAA&#10;">
              <v:fill on="f" focussize="0,0"/>
              <v:stroke on="f" weight="0.5pt"/>
              <v:imagedata o:title=""/>
              <o:lock v:ext="edit" aspectratio="f"/>
              <v:textbox inset="0mm,0mm,0mm,0mm" style="mso-fit-shape-to-text:t;">
                <w:txbxContent>
                  <w:p>
                    <w:pPr>
                      <w:pStyle w:val="10"/>
                      <w:keepNext w:val="0"/>
                      <w:keepLines w:val="0"/>
                      <w:pageBreakBefore w:val="0"/>
                      <w:widowControl w:val="0"/>
                      <w:kinsoku/>
                      <w:wordWrap/>
                      <w:overflowPunct/>
                      <w:topLinePunct w:val="0"/>
                      <w:bidi w:val="0"/>
                      <w:adjustRightInd/>
                      <w:snapToGrid w:val="0"/>
                      <w:ind w:left="315" w:leftChars="150" w:right="315" w:rightChars="150"/>
                      <w:textAlignment w:val="auto"/>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277551"/>
    <w:multiLevelType w:val="singleLevel"/>
    <w:tmpl w:val="0D277551"/>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1OWNjNTlmZWQ1ZmIyMGI2NWQzZWYwZjU3YzVhYmMifQ=="/>
    <w:docVar w:name="KSO_WPS_MARK_KEY" w:val="a59a165c-9c51-4c40-bae8-774df3a765a3"/>
  </w:docVars>
  <w:rsids>
    <w:rsidRoot w:val="00172A27"/>
    <w:rsid w:val="000020A7"/>
    <w:rsid w:val="00094A23"/>
    <w:rsid w:val="000A691A"/>
    <w:rsid w:val="000D1D7A"/>
    <w:rsid w:val="000E6CF7"/>
    <w:rsid w:val="001151A7"/>
    <w:rsid w:val="001526E0"/>
    <w:rsid w:val="00155482"/>
    <w:rsid w:val="00183551"/>
    <w:rsid w:val="001B4AD5"/>
    <w:rsid w:val="0026556D"/>
    <w:rsid w:val="00273796"/>
    <w:rsid w:val="0028650B"/>
    <w:rsid w:val="00375357"/>
    <w:rsid w:val="00394348"/>
    <w:rsid w:val="003B7160"/>
    <w:rsid w:val="003E7133"/>
    <w:rsid w:val="00403706"/>
    <w:rsid w:val="00432872"/>
    <w:rsid w:val="004635A0"/>
    <w:rsid w:val="0047189A"/>
    <w:rsid w:val="004B442C"/>
    <w:rsid w:val="00502E7D"/>
    <w:rsid w:val="00525E67"/>
    <w:rsid w:val="005B6E94"/>
    <w:rsid w:val="005C45EF"/>
    <w:rsid w:val="005D7568"/>
    <w:rsid w:val="005E592A"/>
    <w:rsid w:val="00625597"/>
    <w:rsid w:val="0066265F"/>
    <w:rsid w:val="006F17FA"/>
    <w:rsid w:val="00706CD7"/>
    <w:rsid w:val="00723B2B"/>
    <w:rsid w:val="00730688"/>
    <w:rsid w:val="007D4EA7"/>
    <w:rsid w:val="008119B6"/>
    <w:rsid w:val="00816F9D"/>
    <w:rsid w:val="00832E7F"/>
    <w:rsid w:val="00875578"/>
    <w:rsid w:val="00883334"/>
    <w:rsid w:val="008A2486"/>
    <w:rsid w:val="009250F6"/>
    <w:rsid w:val="009411B0"/>
    <w:rsid w:val="00985688"/>
    <w:rsid w:val="009F3E7F"/>
    <w:rsid w:val="00A1225F"/>
    <w:rsid w:val="00A30147"/>
    <w:rsid w:val="00A421C6"/>
    <w:rsid w:val="00A77FA2"/>
    <w:rsid w:val="00AB3EDC"/>
    <w:rsid w:val="00AC23F0"/>
    <w:rsid w:val="00B119B7"/>
    <w:rsid w:val="00B21A5E"/>
    <w:rsid w:val="00B571D2"/>
    <w:rsid w:val="00B64C41"/>
    <w:rsid w:val="00BB5B8E"/>
    <w:rsid w:val="00BD22C4"/>
    <w:rsid w:val="00BD7FAB"/>
    <w:rsid w:val="00BE29C4"/>
    <w:rsid w:val="00BE33DF"/>
    <w:rsid w:val="00C13D6E"/>
    <w:rsid w:val="00C170F3"/>
    <w:rsid w:val="00CB7333"/>
    <w:rsid w:val="00CE0113"/>
    <w:rsid w:val="00D14F9B"/>
    <w:rsid w:val="00D9360E"/>
    <w:rsid w:val="00DE0BBC"/>
    <w:rsid w:val="00DF4AF5"/>
    <w:rsid w:val="00E14EB4"/>
    <w:rsid w:val="00E32344"/>
    <w:rsid w:val="00E47990"/>
    <w:rsid w:val="00E61731"/>
    <w:rsid w:val="00E62C56"/>
    <w:rsid w:val="00E64CF4"/>
    <w:rsid w:val="00E96A2D"/>
    <w:rsid w:val="00ED105C"/>
    <w:rsid w:val="00ED1323"/>
    <w:rsid w:val="00F47350"/>
    <w:rsid w:val="00F610EC"/>
    <w:rsid w:val="00F66226"/>
    <w:rsid w:val="00F85DE5"/>
    <w:rsid w:val="00F863B0"/>
    <w:rsid w:val="00F970F2"/>
    <w:rsid w:val="00FC46D9"/>
    <w:rsid w:val="00FF261D"/>
    <w:rsid w:val="01011432"/>
    <w:rsid w:val="01D6608B"/>
    <w:rsid w:val="02502671"/>
    <w:rsid w:val="042B5143"/>
    <w:rsid w:val="04A805AC"/>
    <w:rsid w:val="065B1EA2"/>
    <w:rsid w:val="0C211686"/>
    <w:rsid w:val="0D226DC2"/>
    <w:rsid w:val="0DF31337"/>
    <w:rsid w:val="0E974228"/>
    <w:rsid w:val="11380256"/>
    <w:rsid w:val="12DB7D35"/>
    <w:rsid w:val="1384741B"/>
    <w:rsid w:val="14407AEE"/>
    <w:rsid w:val="14CA6699"/>
    <w:rsid w:val="14DD349E"/>
    <w:rsid w:val="1537146E"/>
    <w:rsid w:val="15A85EC8"/>
    <w:rsid w:val="165C118C"/>
    <w:rsid w:val="187F0FBA"/>
    <w:rsid w:val="18C23EE1"/>
    <w:rsid w:val="1D153CC9"/>
    <w:rsid w:val="1D64756B"/>
    <w:rsid w:val="1E5F6F4E"/>
    <w:rsid w:val="1FF266BE"/>
    <w:rsid w:val="1FFC5017"/>
    <w:rsid w:val="21F21BA2"/>
    <w:rsid w:val="22762685"/>
    <w:rsid w:val="250F7E9F"/>
    <w:rsid w:val="26267822"/>
    <w:rsid w:val="267A2DBB"/>
    <w:rsid w:val="27A56ECE"/>
    <w:rsid w:val="27C73B0C"/>
    <w:rsid w:val="28410D92"/>
    <w:rsid w:val="298667EE"/>
    <w:rsid w:val="2AE110F3"/>
    <w:rsid w:val="2C3A0FEE"/>
    <w:rsid w:val="2C7550D0"/>
    <w:rsid w:val="2CE64FE7"/>
    <w:rsid w:val="2F4C7ACB"/>
    <w:rsid w:val="306C3634"/>
    <w:rsid w:val="30AE03DF"/>
    <w:rsid w:val="311C3C27"/>
    <w:rsid w:val="31E61861"/>
    <w:rsid w:val="32AA2E28"/>
    <w:rsid w:val="34E82385"/>
    <w:rsid w:val="37B07132"/>
    <w:rsid w:val="3B3D61BD"/>
    <w:rsid w:val="3BC42B34"/>
    <w:rsid w:val="3C743868"/>
    <w:rsid w:val="3CAC77CC"/>
    <w:rsid w:val="3F710F55"/>
    <w:rsid w:val="46B00F72"/>
    <w:rsid w:val="46FE3A16"/>
    <w:rsid w:val="47FE2B6A"/>
    <w:rsid w:val="492125D8"/>
    <w:rsid w:val="49767A80"/>
    <w:rsid w:val="4B3544BD"/>
    <w:rsid w:val="4B9558A8"/>
    <w:rsid w:val="4BD23F09"/>
    <w:rsid w:val="4CD64F4D"/>
    <w:rsid w:val="4EA64975"/>
    <w:rsid w:val="4F1A6B23"/>
    <w:rsid w:val="505F34D5"/>
    <w:rsid w:val="507F724A"/>
    <w:rsid w:val="50975F08"/>
    <w:rsid w:val="50A13659"/>
    <w:rsid w:val="55890253"/>
    <w:rsid w:val="55DB4564"/>
    <w:rsid w:val="55F16EDA"/>
    <w:rsid w:val="583D1EC5"/>
    <w:rsid w:val="58C7273C"/>
    <w:rsid w:val="58F5279F"/>
    <w:rsid w:val="5AA63D51"/>
    <w:rsid w:val="5B042312"/>
    <w:rsid w:val="5B0B2C59"/>
    <w:rsid w:val="5BB321C1"/>
    <w:rsid w:val="5F225ABD"/>
    <w:rsid w:val="5F2E1271"/>
    <w:rsid w:val="615D7E74"/>
    <w:rsid w:val="62BF2188"/>
    <w:rsid w:val="62BF511E"/>
    <w:rsid w:val="634F4940"/>
    <w:rsid w:val="63CA0EA8"/>
    <w:rsid w:val="653C6BA9"/>
    <w:rsid w:val="654F59D7"/>
    <w:rsid w:val="68587C6E"/>
    <w:rsid w:val="68BF2482"/>
    <w:rsid w:val="6A032F65"/>
    <w:rsid w:val="6B170851"/>
    <w:rsid w:val="6DB9000C"/>
    <w:rsid w:val="6EC377BA"/>
    <w:rsid w:val="6F192DE3"/>
    <w:rsid w:val="6F3B6BD4"/>
    <w:rsid w:val="721E46BD"/>
    <w:rsid w:val="76E823A7"/>
    <w:rsid w:val="79C83F67"/>
    <w:rsid w:val="79DC325F"/>
    <w:rsid w:val="7B285E32"/>
    <w:rsid w:val="7C3269FB"/>
    <w:rsid w:val="7D0A59D1"/>
    <w:rsid w:val="7D16151C"/>
    <w:rsid w:val="7DAD4147"/>
    <w:rsid w:val="7ECB5FD7"/>
    <w:rsid w:val="7F062C4F"/>
    <w:rsid w:val="7F1405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qFormat/>
    <w:uiPriority w:val="99"/>
    <w:pPr>
      <w:keepNext/>
      <w:keepLines/>
      <w:spacing w:before="260" w:after="260" w:line="20" w:lineRule="exact"/>
      <w:ind w:right="-142"/>
      <w:outlineLvl w:val="1"/>
    </w:pPr>
    <w:rPr>
      <w:color w:val="FF0000"/>
      <w:kern w:val="0"/>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Normal Indent"/>
    <w:basedOn w:val="1"/>
    <w:autoRedefine/>
    <w:unhideWhenUsed/>
    <w:qFormat/>
    <w:uiPriority w:val="0"/>
    <w:pPr>
      <w:keepNext w:val="0"/>
      <w:keepLines w:val="0"/>
      <w:widowControl w:val="0"/>
      <w:suppressLineNumbers w:val="0"/>
      <w:spacing w:before="0" w:beforeAutospacing="0" w:after="0" w:afterAutospacing="0"/>
      <w:ind w:left="0" w:right="0" w:firstLine="420"/>
      <w:jc w:val="both"/>
    </w:pPr>
    <w:rPr>
      <w:rFonts w:hint="default" w:ascii="Times New Roman" w:hAnsi="Times New Roman" w:eastAsia="宋体" w:cs="Times New Roman"/>
      <w:kern w:val="2"/>
      <w:sz w:val="21"/>
      <w:szCs w:val="21"/>
      <w:lang w:val="en-US" w:eastAsia="zh-CN" w:bidi="ar"/>
    </w:rPr>
  </w:style>
  <w:style w:type="paragraph" w:styleId="5">
    <w:name w:val="annotation text"/>
    <w:basedOn w:val="1"/>
    <w:autoRedefine/>
    <w:unhideWhenUsed/>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等线" w:cs="等线"/>
      <w:color w:val="000000"/>
      <w:kern w:val="2"/>
      <w:sz w:val="21"/>
      <w:szCs w:val="21"/>
      <w:lang w:val="en-US" w:eastAsia="zh-CN" w:bidi="ar"/>
    </w:rPr>
  </w:style>
  <w:style w:type="paragraph" w:styleId="6">
    <w:name w:val="Body Text"/>
    <w:basedOn w:val="1"/>
    <w:next w:val="1"/>
    <w:autoRedefine/>
    <w:qFormat/>
    <w:uiPriority w:val="99"/>
    <w:pPr>
      <w:spacing w:after="120"/>
    </w:pPr>
    <w:rPr>
      <w:szCs w:val="20"/>
    </w:rPr>
  </w:style>
  <w:style w:type="paragraph" w:styleId="7">
    <w:name w:val="Body Text Indent"/>
    <w:basedOn w:val="1"/>
    <w:next w:val="1"/>
    <w:autoRedefine/>
    <w:qFormat/>
    <w:uiPriority w:val="0"/>
    <w:pPr>
      <w:spacing w:after="120"/>
      <w:ind w:left="420" w:leftChars="200"/>
    </w:pPr>
  </w:style>
  <w:style w:type="paragraph" w:styleId="8">
    <w:name w:val="Body Text Indent 2"/>
    <w:basedOn w:val="1"/>
    <w:autoRedefine/>
    <w:qFormat/>
    <w:uiPriority w:val="99"/>
    <w:pPr>
      <w:ind w:left="630" w:firstLine="645"/>
    </w:pPr>
    <w:rPr>
      <w:rFonts w:ascii="Arial" w:hAnsi="Arial" w:eastAsia="仿宋_GB2312" w:cs="Arial"/>
      <w:sz w:val="32"/>
      <w:szCs w:val="32"/>
    </w:rPr>
  </w:style>
  <w:style w:type="paragraph" w:styleId="9">
    <w:name w:val="Balloon Text"/>
    <w:basedOn w:val="1"/>
    <w:link w:val="33"/>
    <w:autoRedefine/>
    <w:semiHidden/>
    <w:unhideWhenUsed/>
    <w:qFormat/>
    <w:uiPriority w:val="99"/>
    <w:rPr>
      <w:sz w:val="18"/>
      <w:szCs w:val="18"/>
    </w:rPr>
  </w:style>
  <w:style w:type="paragraph" w:styleId="10">
    <w:name w:val="footer"/>
    <w:basedOn w:val="1"/>
    <w:link w:val="20"/>
    <w:autoRedefine/>
    <w:unhideWhenUsed/>
    <w:qFormat/>
    <w:uiPriority w:val="99"/>
    <w:pPr>
      <w:tabs>
        <w:tab w:val="center" w:pos="4153"/>
        <w:tab w:val="right" w:pos="8306"/>
      </w:tabs>
      <w:snapToGrid w:val="0"/>
      <w:jc w:val="left"/>
    </w:pPr>
    <w:rPr>
      <w:sz w:val="18"/>
      <w:szCs w:val="18"/>
    </w:rPr>
  </w:style>
  <w:style w:type="paragraph" w:styleId="11">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autoRedefine/>
    <w:qFormat/>
    <w:uiPriority w:val="0"/>
    <w:pPr>
      <w:spacing w:before="100" w:beforeAutospacing="1" w:after="100" w:afterAutospacing="1"/>
      <w:jc w:val="left"/>
    </w:pPr>
    <w:rPr>
      <w:rFonts w:cs="Times New Roman"/>
      <w:kern w:val="0"/>
      <w:sz w:val="24"/>
    </w:rPr>
  </w:style>
  <w:style w:type="paragraph" w:styleId="13">
    <w:name w:val="Title"/>
    <w:basedOn w:val="1"/>
    <w:next w:val="7"/>
    <w:autoRedefine/>
    <w:qFormat/>
    <w:uiPriority w:val="0"/>
    <w:pPr>
      <w:spacing w:before="240" w:after="60"/>
      <w:jc w:val="center"/>
      <w:outlineLvl w:val="0"/>
    </w:pPr>
    <w:rPr>
      <w:rFonts w:ascii="Calibri Light" w:hAnsi="Calibri Light" w:eastAsia="宋体" w:cs="Times New Roman"/>
      <w:b/>
      <w:bCs/>
    </w:rPr>
  </w:style>
  <w:style w:type="character" w:styleId="16">
    <w:name w:val="Strong"/>
    <w:basedOn w:val="15"/>
    <w:autoRedefine/>
    <w:qFormat/>
    <w:uiPriority w:val="22"/>
    <w:rPr>
      <w:b/>
    </w:rPr>
  </w:style>
  <w:style w:type="character" w:styleId="17">
    <w:name w:val="page number"/>
    <w:autoRedefine/>
    <w:qFormat/>
    <w:uiPriority w:val="0"/>
  </w:style>
  <w:style w:type="paragraph" w:customStyle="1" w:styleId="18">
    <w:name w:val="BodyText"/>
    <w:basedOn w:val="1"/>
    <w:next w:val="1"/>
    <w:autoRedefine/>
    <w:qFormat/>
    <w:uiPriority w:val="0"/>
    <w:pPr>
      <w:spacing w:after="120"/>
      <w:textAlignment w:val="baseline"/>
    </w:pPr>
  </w:style>
  <w:style w:type="character" w:customStyle="1" w:styleId="19">
    <w:name w:val="页眉 Char"/>
    <w:basedOn w:val="15"/>
    <w:link w:val="11"/>
    <w:autoRedefine/>
    <w:qFormat/>
    <w:uiPriority w:val="99"/>
    <w:rPr>
      <w:sz w:val="18"/>
      <w:szCs w:val="18"/>
    </w:rPr>
  </w:style>
  <w:style w:type="character" w:customStyle="1" w:styleId="20">
    <w:name w:val="页脚 Char"/>
    <w:basedOn w:val="15"/>
    <w:link w:val="10"/>
    <w:autoRedefine/>
    <w:qFormat/>
    <w:uiPriority w:val="99"/>
    <w:rPr>
      <w:sz w:val="18"/>
      <w:szCs w:val="18"/>
    </w:rPr>
  </w:style>
  <w:style w:type="paragraph" w:styleId="21">
    <w:name w:val="List Paragraph"/>
    <w:basedOn w:val="1"/>
    <w:autoRedefine/>
    <w:qFormat/>
    <w:uiPriority w:val="34"/>
    <w:pPr>
      <w:ind w:firstLine="420" w:firstLineChars="200"/>
    </w:pPr>
  </w:style>
  <w:style w:type="character" w:customStyle="1" w:styleId="22">
    <w:name w:val="font11"/>
    <w:basedOn w:val="15"/>
    <w:autoRedefine/>
    <w:qFormat/>
    <w:uiPriority w:val="0"/>
    <w:rPr>
      <w:rFonts w:hint="eastAsia" w:ascii="方正黑体_GBK" w:hAnsi="方正黑体_GBK" w:eastAsia="方正黑体_GBK" w:cs="方正黑体_GBK"/>
      <w:color w:val="000000"/>
      <w:sz w:val="21"/>
      <w:szCs w:val="21"/>
      <w:u w:val="none"/>
    </w:rPr>
  </w:style>
  <w:style w:type="character" w:customStyle="1" w:styleId="23">
    <w:name w:val="font21"/>
    <w:basedOn w:val="15"/>
    <w:autoRedefine/>
    <w:qFormat/>
    <w:uiPriority w:val="0"/>
    <w:rPr>
      <w:rFonts w:hint="eastAsia" w:ascii="宋体" w:hAnsi="宋体" w:eastAsia="宋体" w:cs="宋体"/>
      <w:color w:val="000000"/>
      <w:sz w:val="20"/>
      <w:szCs w:val="20"/>
      <w:u w:val="none"/>
    </w:rPr>
  </w:style>
  <w:style w:type="character" w:customStyle="1" w:styleId="24">
    <w:name w:val="font51"/>
    <w:basedOn w:val="15"/>
    <w:autoRedefine/>
    <w:qFormat/>
    <w:uiPriority w:val="0"/>
    <w:rPr>
      <w:rFonts w:hint="eastAsia" w:ascii="宋体" w:hAnsi="宋体" w:eastAsia="宋体" w:cs="宋体"/>
      <w:color w:val="000000"/>
      <w:sz w:val="20"/>
      <w:szCs w:val="20"/>
      <w:u w:val="none"/>
    </w:rPr>
  </w:style>
  <w:style w:type="character" w:customStyle="1" w:styleId="25">
    <w:name w:val="font41"/>
    <w:basedOn w:val="15"/>
    <w:autoRedefine/>
    <w:qFormat/>
    <w:uiPriority w:val="0"/>
    <w:rPr>
      <w:rFonts w:hint="eastAsia" w:ascii="宋体" w:hAnsi="宋体" w:eastAsia="宋体" w:cs="宋体"/>
      <w:color w:val="000000"/>
      <w:sz w:val="20"/>
      <w:szCs w:val="20"/>
      <w:u w:val="none"/>
    </w:rPr>
  </w:style>
  <w:style w:type="character" w:customStyle="1" w:styleId="26">
    <w:name w:val="font01"/>
    <w:basedOn w:val="15"/>
    <w:autoRedefine/>
    <w:qFormat/>
    <w:uiPriority w:val="0"/>
    <w:rPr>
      <w:rFonts w:hint="eastAsia" w:ascii="宋体" w:hAnsi="宋体" w:eastAsia="宋体" w:cs="宋体"/>
      <w:color w:val="000000"/>
      <w:sz w:val="22"/>
      <w:szCs w:val="22"/>
      <w:u w:val="none"/>
    </w:rPr>
  </w:style>
  <w:style w:type="character" w:customStyle="1" w:styleId="27">
    <w:name w:val="font31"/>
    <w:basedOn w:val="15"/>
    <w:autoRedefine/>
    <w:qFormat/>
    <w:uiPriority w:val="0"/>
    <w:rPr>
      <w:rFonts w:hint="eastAsia" w:ascii="方正黑体_GBK" w:hAnsi="方正黑体_GBK" w:eastAsia="方正黑体_GBK" w:cs="方正黑体_GBK"/>
      <w:color w:val="000000"/>
      <w:sz w:val="21"/>
      <w:szCs w:val="21"/>
      <w:u w:val="none"/>
    </w:rPr>
  </w:style>
  <w:style w:type="character" w:customStyle="1" w:styleId="28">
    <w:name w:val="font71"/>
    <w:basedOn w:val="15"/>
    <w:autoRedefine/>
    <w:qFormat/>
    <w:uiPriority w:val="0"/>
    <w:rPr>
      <w:rFonts w:hint="default" w:ascii="Times New Roman" w:hAnsi="Times New Roman" w:cs="Times New Roman"/>
      <w:color w:val="000000"/>
      <w:sz w:val="18"/>
      <w:szCs w:val="18"/>
      <w:u w:val="none"/>
    </w:rPr>
  </w:style>
  <w:style w:type="character" w:customStyle="1" w:styleId="29">
    <w:name w:val="font61"/>
    <w:basedOn w:val="15"/>
    <w:autoRedefine/>
    <w:qFormat/>
    <w:uiPriority w:val="0"/>
    <w:rPr>
      <w:rFonts w:hint="eastAsia" w:ascii="宋体" w:hAnsi="宋体" w:eastAsia="宋体" w:cs="宋体"/>
      <w:color w:val="000000"/>
      <w:sz w:val="20"/>
      <w:szCs w:val="20"/>
      <w:u w:val="none"/>
    </w:rPr>
  </w:style>
  <w:style w:type="character" w:customStyle="1" w:styleId="30">
    <w:name w:val="font91"/>
    <w:basedOn w:val="15"/>
    <w:autoRedefine/>
    <w:qFormat/>
    <w:uiPriority w:val="0"/>
    <w:rPr>
      <w:rFonts w:hint="eastAsia" w:ascii="宋体" w:hAnsi="宋体" w:eastAsia="宋体" w:cs="宋体"/>
      <w:color w:val="000000"/>
      <w:sz w:val="22"/>
      <w:szCs w:val="22"/>
      <w:u w:val="none"/>
    </w:rPr>
  </w:style>
  <w:style w:type="character" w:customStyle="1" w:styleId="31">
    <w:name w:val="NormalCharacter"/>
    <w:autoRedefine/>
    <w:semiHidden/>
    <w:qFormat/>
    <w:uiPriority w:val="0"/>
  </w:style>
  <w:style w:type="table" w:customStyle="1" w:styleId="32">
    <w:name w:val="Table Normal"/>
    <w:autoRedefine/>
    <w:semiHidden/>
    <w:unhideWhenUsed/>
    <w:qFormat/>
    <w:uiPriority w:val="0"/>
    <w:tblPr>
      <w:tblCellMar>
        <w:top w:w="0" w:type="dxa"/>
        <w:left w:w="0" w:type="dxa"/>
        <w:bottom w:w="0" w:type="dxa"/>
        <w:right w:w="0" w:type="dxa"/>
      </w:tblCellMar>
    </w:tblPr>
  </w:style>
  <w:style w:type="character" w:customStyle="1" w:styleId="33">
    <w:name w:val="批注框文本 Char"/>
    <w:basedOn w:val="15"/>
    <w:link w:val="9"/>
    <w:autoRedefine/>
    <w:semiHidden/>
    <w:qFormat/>
    <w:uiPriority w:val="99"/>
    <w:rPr>
      <w:rFonts w:asciiTheme="minorHAnsi" w:hAnsiTheme="minorHAnsi" w:eastAsiaTheme="minorEastAsia" w:cstheme="minorBidi"/>
      <w:kern w:val="2"/>
      <w:sz w:val="18"/>
      <w:szCs w:val="18"/>
    </w:rPr>
  </w:style>
  <w:style w:type="character" w:customStyle="1" w:styleId="34">
    <w:name w:val="font171"/>
    <w:basedOn w:val="15"/>
    <w:autoRedefine/>
    <w:qFormat/>
    <w:uiPriority w:val="0"/>
    <w:rPr>
      <w:rFonts w:ascii="方正黑体_GBK" w:hAnsi="方正黑体_GBK" w:eastAsia="方正黑体_GBK" w:cs="方正黑体_GBK"/>
      <w:color w:val="000000"/>
      <w:sz w:val="28"/>
      <w:szCs w:val="28"/>
      <w:u w:val="none"/>
    </w:rPr>
  </w:style>
  <w:style w:type="character" w:customStyle="1" w:styleId="35">
    <w:name w:val="font81"/>
    <w:basedOn w:val="15"/>
    <w:autoRedefine/>
    <w:qFormat/>
    <w:uiPriority w:val="0"/>
    <w:rPr>
      <w:rFonts w:hint="eastAsia" w:ascii="宋体" w:hAnsi="宋体" w:eastAsia="宋体" w:cs="宋体"/>
      <w:b/>
      <w:bCs/>
      <w:color w:val="000000"/>
      <w:sz w:val="28"/>
      <w:szCs w:val="28"/>
      <w:u w:val="none"/>
    </w:rPr>
  </w:style>
  <w:style w:type="character" w:customStyle="1" w:styleId="36">
    <w:name w:val="font181"/>
    <w:basedOn w:val="15"/>
    <w:autoRedefine/>
    <w:qFormat/>
    <w:uiPriority w:val="0"/>
    <w:rPr>
      <w:rFonts w:hint="eastAsia" w:ascii="方正黑体_GBK" w:hAnsi="方正黑体_GBK" w:eastAsia="方正黑体_GBK" w:cs="方正黑体_GBK"/>
      <w:b/>
      <w:bCs/>
      <w:color w:val="000000"/>
      <w:sz w:val="32"/>
      <w:szCs w:val="32"/>
      <w:u w:val="none"/>
    </w:rPr>
  </w:style>
  <w:style w:type="character" w:customStyle="1" w:styleId="37">
    <w:name w:val="font191"/>
    <w:basedOn w:val="15"/>
    <w:autoRedefine/>
    <w:qFormat/>
    <w:uiPriority w:val="0"/>
    <w:rPr>
      <w:rFonts w:hint="eastAsia" w:ascii="宋体" w:hAnsi="宋体" w:eastAsia="宋体" w:cs="宋体"/>
      <w:color w:val="000000"/>
      <w:sz w:val="24"/>
      <w:szCs w:val="24"/>
      <w:u w:val="none"/>
    </w:rPr>
  </w:style>
  <w:style w:type="character" w:customStyle="1" w:styleId="38">
    <w:name w:val="font131"/>
    <w:basedOn w:val="15"/>
    <w:autoRedefine/>
    <w:qFormat/>
    <w:uiPriority w:val="0"/>
    <w:rPr>
      <w:rFonts w:hint="default" w:ascii="Times New Roman" w:hAnsi="Times New Roman" w:cs="Times New Roman"/>
      <w:color w:val="000000"/>
      <w:sz w:val="24"/>
      <w:szCs w:val="24"/>
      <w:u w:val="none"/>
    </w:rPr>
  </w:style>
  <w:style w:type="character" w:customStyle="1" w:styleId="39">
    <w:name w:val="10"/>
    <w:basedOn w:val="15"/>
    <w:autoRedefine/>
    <w:qFormat/>
    <w:uiPriority w:val="0"/>
    <w:rPr>
      <w:rFonts w:hint="default" w:ascii="Times New Roman" w:hAnsi="Times New Roman" w:cs="Times New Roman"/>
    </w:rPr>
  </w:style>
  <w:style w:type="character" w:customStyle="1" w:styleId="40">
    <w:name w:val="15"/>
    <w:basedOn w:val="15"/>
    <w:autoRedefine/>
    <w:qFormat/>
    <w:uiPriority w:val="0"/>
    <w:rPr>
      <w:rFonts w:hint="default" w:ascii="Times New Roman" w:hAnsi="Times New Roman" w:cs="Times New Roman"/>
    </w:rPr>
  </w:style>
  <w:style w:type="character" w:customStyle="1" w:styleId="41">
    <w:name w:val="16"/>
    <w:basedOn w:val="15"/>
    <w:autoRedefine/>
    <w:qFormat/>
    <w:uiPriority w:val="0"/>
    <w:rPr>
      <w:rFonts w:hint="eastAsia" w:ascii="方正黑体_GBK" w:hAnsi="方正黑体_GBK" w:eastAsia="方正黑体_GBK" w:cs="方正黑体_GBK"/>
      <w:color w:val="000000"/>
      <w:sz w:val="22"/>
      <w:szCs w:val="22"/>
    </w:rPr>
  </w:style>
  <w:style w:type="paragraph" w:customStyle="1" w:styleId="42">
    <w:name w:val="Default"/>
    <w:basedOn w:val="1"/>
    <w:autoRedefine/>
    <w:qFormat/>
    <w:uiPriority w:val="0"/>
    <w:pPr>
      <w:keepNext w:val="0"/>
      <w:keepLines w:val="0"/>
      <w:widowControl w:val="0"/>
      <w:suppressLineNumbers w:val="0"/>
      <w:autoSpaceDE w:val="0"/>
      <w:autoSpaceDN w:val="0"/>
      <w:adjustRightInd w:val="0"/>
      <w:spacing w:before="0" w:beforeAutospacing="0" w:after="0" w:afterAutospacing="0"/>
      <w:ind w:left="0" w:right="0"/>
      <w:jc w:val="left"/>
    </w:pPr>
    <w:rPr>
      <w:rFonts w:hint="eastAsia" w:ascii="宋体" w:hAnsi="宋体" w:eastAsia="宋体" w:cs="宋体"/>
      <w:color w:val="000000"/>
      <w:kern w:val="0"/>
      <w:sz w:val="24"/>
      <w:szCs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6530</Words>
  <Characters>7676</Characters>
  <Lines>1</Lines>
  <Paragraphs>1</Paragraphs>
  <TotalTime>15</TotalTime>
  <ScaleCrop>false</ScaleCrop>
  <LinksUpToDate>false</LinksUpToDate>
  <CharactersWithSpaces>7837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2024-01-30T11:04:00Z</dcterms:created>
  <dc:creator>DELL</dc:creator>
  <cp:lastModifiedBy>l</cp:lastModifiedBy>
  <cp:lastPrinted>2024-04-09T03:25:00Z</cp:lastPrinted>
  <dcterms:modified xsi:type="dcterms:W3CDTF">2024-04-10T01:54:32Z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7DC0A1FA6BEB4BCF81295C1D1DA2DF16_13</vt:lpwstr>
  </property>
</Properties>
</file>