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148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/>
          <w:color w:val="FF0000"/>
          <w:spacing w:val="128"/>
          <w:w w:val="50"/>
          <w:sz w:val="160"/>
          <w:szCs w:val="16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left="220" w:leftChars="100" w:right="220" w:rightChars="100" w:firstLine="5824" w:firstLineChars="800"/>
        <w:jc w:val="both"/>
        <w:textAlignment w:val="auto"/>
        <w:rPr>
          <w:rFonts w:hint="eastAsia" w:ascii="Times New Roman" w:hAnsi="Times New Roman" w:cs="Times New Roman"/>
          <w:b w:val="0"/>
          <w:bCs/>
          <w:color w:val="FFFFFF"/>
          <w:spacing w:val="28"/>
          <w:w w:val="42"/>
          <w:sz w:val="160"/>
          <w:szCs w:val="160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left="220" w:leftChars="100" w:right="220" w:rightChars="100" w:firstLine="5824" w:firstLineChars="800"/>
        <w:jc w:val="both"/>
        <w:textAlignment w:val="auto"/>
        <w:rPr>
          <w:rFonts w:hint="eastAsia" w:ascii="Times New Roman" w:hAnsi="Times New Roman" w:cs="Times New Roman"/>
          <w:b w:val="0"/>
          <w:bCs/>
          <w:color w:val="FFFFFF"/>
          <w:spacing w:val="28"/>
          <w:w w:val="42"/>
          <w:sz w:val="160"/>
          <w:szCs w:val="160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left="220" w:leftChars="100" w:right="220" w:rightChars="100" w:firstLine="5824" w:firstLineChars="800"/>
        <w:jc w:val="both"/>
        <w:textAlignment w:val="auto"/>
        <w:rPr>
          <w:rFonts w:hint="eastAsia" w:ascii="Times New Roman" w:hAnsi="Times New Roman" w:cs="Times New Roman"/>
          <w:b w:val="0"/>
          <w:bCs/>
          <w:color w:val="FFFFFF"/>
          <w:spacing w:val="28"/>
          <w:w w:val="42"/>
          <w:sz w:val="160"/>
          <w:szCs w:val="160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left="220" w:leftChars="100" w:right="220" w:rightChars="100" w:firstLine="5824" w:firstLineChars="800"/>
        <w:jc w:val="both"/>
        <w:textAlignment w:val="auto"/>
        <w:rPr>
          <w:rFonts w:hint="eastAsia" w:ascii="Times New Roman" w:hAnsi="Times New Roman" w:cs="Times New Roman"/>
          <w:b w:val="0"/>
          <w:bCs/>
          <w:color w:val="FFFFFF"/>
          <w:spacing w:val="28"/>
          <w:w w:val="42"/>
          <w:sz w:val="160"/>
          <w:szCs w:val="160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left="220" w:leftChars="100" w:right="220" w:rightChars="100" w:firstLine="5824" w:firstLineChars="800"/>
        <w:jc w:val="both"/>
        <w:textAlignment w:val="auto"/>
        <w:rPr>
          <w:rFonts w:hint="eastAsia" w:ascii="Times New Roman" w:hAnsi="Times New Roman" w:cs="Times New Roman"/>
          <w:b w:val="0"/>
          <w:bCs/>
          <w:color w:val="FFFFFF"/>
          <w:spacing w:val="28"/>
          <w:w w:val="42"/>
          <w:sz w:val="160"/>
          <w:szCs w:val="160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left="220" w:leftChars="100" w:right="220" w:rightChars="100" w:firstLine="5824" w:firstLineChars="8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Times New Roman" w:hAnsi="Times New Roman" w:cs="Times New Roman"/>
          <w:b w:val="0"/>
          <w:bCs/>
          <w:color w:val="FFFFFF"/>
          <w:spacing w:val="28"/>
          <w:w w:val="42"/>
          <w:sz w:val="160"/>
          <w:szCs w:val="160"/>
          <w:lang w:val="en-US" w:eastAsia="zh-CN"/>
        </w:rPr>
        <w:t xml:space="preserve"> </w:t>
      </w:r>
    </w:p>
    <w:p>
      <w:pPr>
        <w:spacing w:line="580" w:lineRule="exact"/>
        <w:ind w:left="220" w:leftChars="100" w:right="220" w:rightChars="100" w:firstLine="2560" w:firstLineChars="800"/>
        <w:jc w:val="both"/>
        <w:rPr>
          <w:rFonts w:hint="eastAsia" w:ascii="Times New Roman" w:hAnsi="Times New Roman" w:eastAsia="方正仿宋_GBK" w:cs="Times New Roman"/>
          <w:b w:val="0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洪政</w:t>
      </w: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  <w:lang w:eastAsia="zh-CN"/>
        </w:rPr>
        <w:t>办</w:t>
      </w: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发〔20</w:t>
      </w: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cs="Times New Roman"/>
          <w:b w:val="0"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b w:val="0"/>
          <w:bCs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号</w:t>
      </w:r>
    </w:p>
    <w:p>
      <w:pPr>
        <w:spacing w:line="227" w:lineRule="exact"/>
        <w:rPr>
          <w:rFonts w:hint="default" w:ascii="Times New Roman" w:hAnsi="Times New Roman" w:cs="Times New Roman"/>
          <w:b w:val="0"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leftChars="0" w:right="-163" w:rightChars="-74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-440" w:leftChars="-200" w:right="-414" w:rightChars="-188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b w:val="0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  <w:t>县政府办公室关于印发202</w:t>
      </w:r>
      <w:r>
        <w:rPr>
          <w:rFonts w:hint="eastAsia" w:ascii="Times New Roman" w:hAnsi="Times New Roman" w:eastAsia="方正小标宋_GBK" w:cs="Times New Roman"/>
          <w:b w:val="0"/>
          <w:bCs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  <w:t>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b w:val="0"/>
          <w:bCs/>
          <w:sz w:val="44"/>
          <w:szCs w:val="44"/>
          <w:lang w:eastAsia="zh-CN"/>
        </w:rPr>
        <w:t>“</w:t>
      </w: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  <w:t>创赢泗洪</w:t>
      </w:r>
      <w:r>
        <w:rPr>
          <w:rFonts w:hint="eastAsia" w:ascii="Times New Roman" w:hAnsi="Times New Roman" w:eastAsia="方正小标宋_GBK" w:cs="Times New Roman"/>
          <w:b w:val="0"/>
          <w:bCs/>
          <w:sz w:val="44"/>
          <w:szCs w:val="44"/>
          <w:lang w:eastAsia="zh-CN"/>
        </w:rPr>
        <w:t>”</w:t>
      </w: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  <w:t>全民创业实施方案的通知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方正仿宋_GBK" w:cs="Times New Roman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方正仿宋_GBK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各乡镇人民政府</w:t>
      </w:r>
      <w:r>
        <w:rPr>
          <w:rFonts w:hint="eastAsia" w:ascii="Times New Roman" w:hAnsi="Times New Roman" w:eastAsia="方正仿宋_GBK" w:cs="Times New Roman"/>
          <w:b w:val="0"/>
          <w:bCs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各街道办事处，县各开发区、园区管委会</w:t>
      </w:r>
      <w:r>
        <w:rPr>
          <w:rFonts w:hint="eastAsia" w:ascii="Times New Roman" w:hAnsi="Times New Roman" w:eastAsia="方正仿宋_GBK" w:cs="Times New Roman"/>
          <w:b w:val="0"/>
          <w:bCs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县各有关部门和单位：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方正仿宋_GBK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　　《202</w:t>
      </w:r>
      <w:r>
        <w:rPr>
          <w:rFonts w:hint="eastAsia" w:ascii="Times New Roman" w:hAnsi="Times New Roman" w:eastAsia="方正仿宋_GBK" w:cs="Times New Roman"/>
          <w:b w:val="0"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b w:val="0"/>
          <w:bCs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创赢泗洪</w:t>
      </w:r>
      <w:r>
        <w:rPr>
          <w:rFonts w:hint="eastAsia" w:ascii="Times New Roman" w:hAnsi="Times New Roman" w:eastAsia="方正仿宋_GBK" w:cs="Times New Roman"/>
          <w:b w:val="0"/>
          <w:bCs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全民创业实施方案》</w:t>
      </w:r>
      <w:r>
        <w:rPr>
          <w:rFonts w:hint="eastAsia" w:ascii="Times New Roman" w:hAnsi="Times New Roman" w:eastAsia="方正仿宋_GBK" w:cs="Times New Roman"/>
          <w:b w:val="0"/>
          <w:bCs/>
          <w:sz w:val="32"/>
          <w:szCs w:val="32"/>
          <w:lang w:eastAsia="zh-CN"/>
        </w:rPr>
        <w:t>已经县政府同意，现</w:t>
      </w: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印发给你们，请结合实际，认真贯彻落实。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方正仿宋_GBK" w:cs="Times New Roman"/>
          <w:b w:val="0"/>
          <w:bCs/>
          <w:sz w:val="32"/>
          <w:szCs w:val="32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firstLine="0" w:firstLineChars="0"/>
        <w:textAlignment w:val="auto"/>
        <w:rPr>
          <w:rFonts w:hint="default"/>
          <w:b w:val="0"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4678" w:firstLineChars="1462"/>
        <w:textAlignment w:val="auto"/>
        <w:rPr>
          <w:rFonts w:hint="default" w:ascii="Times New Roman" w:hAnsi="Times New Roman" w:eastAsia="方正仿宋_GBK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泗洪县人民政府办公室</w:t>
      </w:r>
    </w:p>
    <w:p>
      <w:pPr>
        <w:keepNext w:val="0"/>
        <w:keepLines w:val="0"/>
        <w:pageBreakBefore w:val="0"/>
        <w:widowControl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120" w:firstLineChars="1600"/>
        <w:textAlignment w:val="auto"/>
        <w:rPr>
          <w:rFonts w:hint="default" w:ascii="Times New Roman" w:hAnsi="Times New Roman" w:eastAsia="方正仿宋_GBK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b w:val="0"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b w:val="0"/>
          <w:bCs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b w:val="0"/>
          <w:bCs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</w:pPr>
      <w:r>
        <w:rPr>
          <w:rFonts w:hint="eastAsia" w:ascii="Times New Roman" w:hAnsi="Times New Roman" w:eastAsia="方正仿宋_GBK" w:cs="Times New Roman"/>
          <w:b w:val="0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b w:val="0"/>
          <w:bCs/>
          <w:sz w:val="32"/>
          <w:szCs w:val="32"/>
          <w:lang w:val="en-US" w:eastAsia="zh-CN"/>
        </w:rPr>
        <w:t>此件公开发布</w:t>
      </w:r>
      <w:r>
        <w:rPr>
          <w:rFonts w:hint="eastAsia" w:ascii="Times New Roman" w:hAnsi="Times New Roman" w:eastAsia="方正仿宋_GBK" w:cs="Times New Roman"/>
          <w:b w:val="0"/>
          <w:bCs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800" w:lineRule="exact"/>
        <w:jc w:val="center"/>
        <w:textAlignment w:val="auto"/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  <w:u w:val="none"/>
          <w:lang w:val="en-US" w:eastAsia="zh-CN"/>
        </w:rPr>
      </w:pPr>
      <w:r>
        <w:rPr>
          <w:rStyle w:val="15"/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  <w:highlight w:val="none"/>
          <w:u w:val="none"/>
        </w:rPr>
        <w:t>202</w:t>
      </w:r>
      <w:r>
        <w:rPr>
          <w:rStyle w:val="15"/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  <w:highlight w:val="none"/>
          <w:u w:val="none"/>
          <w:lang w:val="en-US" w:eastAsia="zh-CN"/>
        </w:rPr>
        <w:t>4</w:t>
      </w:r>
      <w:r>
        <w:rPr>
          <w:rStyle w:val="15"/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  <w:highlight w:val="none"/>
          <w:u w:val="none"/>
        </w:rPr>
        <w:t>年</w:t>
      </w:r>
      <w:r>
        <w:rPr>
          <w:rStyle w:val="15"/>
          <w:rFonts w:hint="eastAsia" w:ascii="Times New Roman" w:hAnsi="Times New Roman" w:eastAsia="方正小标宋_GBK" w:cs="Times New Roman"/>
          <w:b w:val="0"/>
          <w:bCs/>
          <w:color w:val="auto"/>
          <w:sz w:val="44"/>
          <w:szCs w:val="44"/>
          <w:highlight w:val="none"/>
          <w:u w:val="none"/>
          <w:lang w:eastAsia="zh-CN"/>
        </w:rPr>
        <w:t>“</w:t>
      </w:r>
      <w:r>
        <w:rPr>
          <w:rStyle w:val="15"/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  <w:highlight w:val="none"/>
          <w:u w:val="none"/>
        </w:rPr>
        <w:t>创赢泗洪</w:t>
      </w:r>
      <w:r>
        <w:rPr>
          <w:rStyle w:val="15"/>
          <w:rFonts w:hint="eastAsia" w:ascii="Times New Roman" w:hAnsi="Times New Roman" w:eastAsia="方正小标宋_GBK" w:cs="Times New Roman"/>
          <w:b w:val="0"/>
          <w:bCs/>
          <w:color w:val="auto"/>
          <w:sz w:val="44"/>
          <w:szCs w:val="44"/>
          <w:highlight w:val="none"/>
          <w:u w:val="none"/>
          <w:lang w:eastAsia="zh-CN"/>
        </w:rPr>
        <w:t>”</w:t>
      </w:r>
      <w:r>
        <w:rPr>
          <w:rStyle w:val="15"/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  <w:highlight w:val="none"/>
          <w:u w:val="none"/>
        </w:rPr>
        <w:t>全民创业实施方案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为深入贯彻落实省委、市委、县委经济工作会议精神，聚焦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最富活力改革试验区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建设，紧扣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两增三创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工作思路，锚定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四大定位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目标，进一步激发全民创业热情，释放市场主体活力，全力打造江淮创业新城，营造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干部敢为、地方敢闯、企业敢干、群众敢首创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的良好氛围。现就做好全县2024年全民创业工作，制定如下方案。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b w:val="0"/>
          <w:bCs/>
          <w:snapToGrid w:val="0"/>
          <w:color w:val="auto"/>
          <w:sz w:val="32"/>
          <w:highlight w:val="none"/>
          <w:u w:val="none"/>
        </w:rPr>
      </w:pPr>
      <w:r>
        <w:rPr>
          <w:rFonts w:hint="default" w:ascii="Times New Roman" w:hAnsi="Times New Roman" w:eastAsia="方正黑体_GBK" w:cs="Times New Roman"/>
          <w:b w:val="0"/>
          <w:bCs/>
          <w:snapToGrid w:val="0"/>
          <w:color w:val="auto"/>
          <w:sz w:val="32"/>
          <w:highlight w:val="none"/>
          <w:u w:val="none"/>
        </w:rPr>
        <w:t>一、年度目标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2024年，全县全民创业工作以激发创业主体活力为主线，聚焦重点群体、重点行业两大领域和载体建设、服务保障两大举措，全力培育创业主体，全面提升全民创业工作水平。创业主体培育上，新增市场主体不少于1.7万户，其中，个体工商户1.4万户，私营企业3000户以上。全年支持自主创业7500人以上。载体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建设（提升）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上，建设省（市）级创业孵化基地1个以上，各乡镇（街道）建设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（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提升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）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功能完善的创业一条街1个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建设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（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提升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）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功能完善的镇级创业孵化园1个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，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/>
        </w:rPr>
        <w:t>其中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建成西南岗产业园、界集镇工业集中区、上塘纺织服装园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三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大园区创业孵化园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服务保障升级上，开展培训6500人次以上，创业带动就业1.2万人以上。县财政设立全民创业风险扶持资金5000万元、富民创业担保基金6000万元用于支持全民创业，年内累计发放富民创业担保贷款10亿元以上。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b w:val="0"/>
          <w:bCs/>
          <w:snapToGrid w:val="0"/>
          <w:color w:val="auto"/>
          <w:sz w:val="32"/>
          <w:highlight w:val="none"/>
          <w:u w:val="none"/>
        </w:rPr>
      </w:pPr>
      <w:r>
        <w:rPr>
          <w:rFonts w:hint="default" w:ascii="Times New Roman" w:hAnsi="Times New Roman" w:eastAsia="方正黑体_GBK" w:cs="Times New Roman"/>
          <w:b w:val="0"/>
          <w:bCs/>
          <w:snapToGrid w:val="0"/>
          <w:color w:val="auto"/>
          <w:sz w:val="32"/>
          <w:highlight w:val="none"/>
          <w:u w:val="none"/>
        </w:rPr>
        <w:t>二、重点任务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highlight w:val="none"/>
          <w:u w:val="none"/>
        </w:rPr>
      </w:pP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highlight w:val="none"/>
          <w:u w:val="none"/>
        </w:rPr>
        <w:t>（一）聚焦重点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群体培育创业主体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highlight w:val="none"/>
          <w:u w:val="none"/>
        </w:rPr>
        <w:t>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highlight w:val="none"/>
          <w:u w:val="none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一是支持在外人员返乡创业。积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极开展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凤还巢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活动，鼓励引导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泗洪籍在外成功人士、专业技术人才和务工人员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等利用资金、技术和经营理念等优势和专长投资创业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，带头致富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重点摸排泗洪籍返乡农民工数量、流动情况、留乡就业创业意愿等，多举措支持返乡农民工留乡就业创业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年内，扶持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返乡创业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3000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人以上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带动就业6000人以上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〔责任单位：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发改局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，各乡镇（街道）〕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二是支持农民致富创业。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加快培育农村创业主体，鼓励农民通过开展规模种植、特色养殖、商贸餐饮、农副产品流通及深加工等方式创业；实施高素质农民培训，提升农民创业能力；开展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一村一策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农村经纪人培育计划，打造一支懂市场、会经营、善管理和有引导带动能力的农村经纪人队伍。年内，扶持农民创业5000人，带动就业1万人以上，新培育县级以上示范家庭农场、农民专业合作社15个，开展高素质农民培训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3000人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新增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农村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各类经纪人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00人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〔责任单位：农业农村局（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乡村振兴局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），各乡镇（街道）〕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 xml:space="preserve"> 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三是支持高层次人才集聚创业。围绕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全县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4+3+X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先进制造业体系和18条重点产业链，大力引进能够引领产业升级、优化企业管理、突破关键技术的行业领军人才及团队，继续优化完善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大湖英才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集聚计划人才政策体系，不断扩大品牌影响力。年内，筹办高层次人才创业大赛、产才对接、高峰论坛等活动不少于3场次，引进高层次创新创业人才不少于50人。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〔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责任单位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：组织部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，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各乡镇（街道）〕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</w:pP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  <w:t>四是支持村组干部领头创业。充分发挥村组干部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  <w:t>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  <w:t>领头雁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  <w:t>”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  <w:t>创业带富作用，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zh-CN" w:eastAsia="zh-CN" w:bidi="zh-CN"/>
        </w:rPr>
        <w:t>鼓励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  <w:t>引导村组干部带头示范、抱团创业、带民致富，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zh-CN" w:eastAsia="zh-CN" w:bidi="zh-CN"/>
        </w:rPr>
        <w:t>通过领办、合资、入股等形式，发展专业合作社、家庭农场、设施农业、休闲农业、智慧农业、电子商务等新产业新业态，提高农业生产效益，带动农民创业增收。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  <w:t>年内，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zh-CN" w:eastAsia="zh-CN" w:bidi="zh-CN"/>
        </w:rPr>
        <w:t>扶持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  <w:t>村组干部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zh-CN" w:eastAsia="zh-CN" w:bidi="zh-CN"/>
        </w:rPr>
        <w:t>创业不少于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  <w:t>2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zh-CN" w:eastAsia="zh-CN" w:bidi="zh-CN"/>
        </w:rPr>
        <w:t>00人，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  <w:t>带动就业600人以上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zh-CN" w:eastAsia="zh-CN" w:bidi="zh-CN"/>
        </w:rPr>
        <w:t>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  <w:t>〔责任单位：组织部，各乡镇（街道）〕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</w:pP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五是支持高校毕业生自主创业。充分发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挥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高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校毕业生的才能和智慧，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注重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创业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孵化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和优秀创业项目遴选，引导和鼓励其从事个体经营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、网络创业等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，成立私营公司，创办经济实体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在创业中实现就业，实现创业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就业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、培训实践有机结合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对两年内未就业高校毕业生，按规定给予社会保险补贴。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年内，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扶持高校毕业生创业不少于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400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人，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带动就业800人以上，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遴选不少于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6个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省、市级大学生优秀创业项目。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  <w:t>〔责任单位：人社局，各乡镇（街道）〕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</w:pP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六是支持个体工商户发展创业。鼓励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个体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经济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发展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壮大，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引导城乡劳动者以市场为导向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依法自主选择经营范围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创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办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投资小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见效快、易转型、风险小的小规模经济实体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扶持个体工商户扩大生产规模，拓宽从业领域，通过联合、兼并的方式组建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小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企业，全面壮大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小微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企业阵容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年内，新增个体工商户1.4万户，私营企业3000户以上。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  <w:t>〔责任单位：市场监管局、行政审批局，各乡镇（街道）〕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</w:pP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七是支持职工敢于创业。鼓励扶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持有创业能力及创业意愿的职工大胆创业，充分发挥工会自身组织网络和总工会职工服务中心资源优势，积极开展创业指导，加强创业培训，强化政策支持，全方位支持职工创业。年内，鼓励扶持职工创业项目贷款贴息50笔，带动就业300人以上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  <w:t>〔责任单位：总工会，各乡镇（街道）〕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</w:pP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八是支持巾帼建功创业。加大创业培训力度，以技能培训提升女性创业就业能力，加快培育高素质、知识型、技能型、创业型女性，帮助实现技能就业、技能增收；注重培树典型，以先进典型宣传和巾帼创新创业大赛带动女性创业就业。年内，开展家政、农业技术、电商等专项女性创业就业培训1500人以上，表彰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巾帼创业先锋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、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三八红旗手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等女性创业先进典型和行业女能手20人以上，完成女性创办市场主体50个，带动就业150人以上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  <w:t>〔责任单位：妇联，各乡镇（街道）〕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</w:pP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九是支持青年创新创业。实施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青年创业人才培养工程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，积极鼓励和支持青年创业成才，通过开展创业培训，帮助发展优势创业项目，开展专家指导等，解决青年创业者在初创期间所面临的困难，帮助青年创业者快速渡过初创难关，提高青年创业能力，激发引领全社会创业潜能。年内，开展各类青年创业培训200人次，新增青年创业项目50个，带动就业150人以上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  <w:t>〔责任单位：团县委，各乡镇（街道）〕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</w:pP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十是支持自主就业退役士兵转岗创业。积极落实税费减免、创业补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贴、创业担保贷款等优惠政策，鼓励自主就业退役士兵积极投身现代农业、电子商务、新兴服务业等领域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开展创业，鼓励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引导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其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通过政策扶持实现自主创业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年内，开展自主就业退役士兵各类创业帮扶培训200人次，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新增自主就业退役士兵创业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项目30个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带动就业90人以上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  <w:t>〔责任单位：退役军人事务局，各乡镇（街道）〕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b w:val="0"/>
          <w:bCs/>
          <w:snapToGrid w:val="0"/>
          <w:color w:val="auto"/>
          <w:highlight w:val="none"/>
          <w:u w:val="none"/>
        </w:rPr>
      </w:pP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十一是支持残疾人自立创业。充分挖掘残疾人自我开发、自我创造潜能，加大帮扶力度，鼓励残疾人自觉投入到创业活动中，通过创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业走上富裕之路。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年内，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开展残疾人创业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、技能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培训50人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次以上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，新增残疾人创业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项目30个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带动就业90人以上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  <w:t>〔责任单位：残联，各乡镇（街道）〕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</w:pP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十二是支持灵活就业人员创业。利用线上线下开展高频次全方位就业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创业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服务，设立零工市场服务专区，向社会提供岗位信息登记发布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求职招聘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和创业政策咨询等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服务。加强灵活就业人员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创业扶持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，提供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就业创业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绿色通道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和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创业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援助服务。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年内，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支持成功自主创业2500人，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组织系列招聘活动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场次，实现城镇新增就业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8000人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，就业困难人员再就业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3000人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，失业人员再就业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2500人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  <w:t>〔责任单位：人社局，各乡镇（街道）〕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highlight w:val="none"/>
          <w:u w:val="none"/>
        </w:rPr>
        <w:t>（二）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聚焦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highlight w:val="none"/>
          <w:u w:val="none"/>
        </w:rPr>
        <w:t>重点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行业培育创业主体。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</w:pP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  <w:t>一是围绕现代农业创业。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以乡村振兴为统领，加快从农业大县到农业强县建设步伐，以稻麦、水产、林果等泗洪农特产为基础，发展多元化食物供给体系。做好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土特产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文章，依托农业农村特色资源，向开发农业多种功能、挖掘乡村多元价值要效益，向一二三产业融合发展要效益。大力推动乡村旅游、特色乡村经济、宜居宜业和美乡村建设，强龙头、补链条、兴业态、树品牌，多渠道拓展农民就业创业增收空间。强力招引培育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三来一加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项目，大力推进家门口创业就业。年内，新增固定资产投资30万元以下农产品加工企业75个以上，培育市级及以上重点农业龙头企业4家以上，县级农业龙头企业15家以上，带动就业6人以上的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三来一加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项目330个。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  <w:t>〔责任单位：农业农村局（乡村振兴局），各乡镇（街道）〕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cs="Times New Roman"/>
          <w:b w:val="0"/>
          <w:bCs/>
          <w:snapToGrid w:val="0"/>
          <w:color w:val="auto"/>
          <w:highlight w:val="none"/>
          <w:u w:val="none"/>
        </w:rPr>
      </w:pP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二是围绕工业小微企业创业。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围绕全县产业链上下游，树立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一盘棋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思想，全面整合创业资源，通过政策宣传、优化服务、简政放权等方式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激发小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微企业创业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创新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活力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引导乡镇围绕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1+1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特色产业，定制招商方案，对签约落户的项目排定工程建设推进进度，助推项目早日投产达效。鼓励小微企业与县内外大中企业建立稳定合作关系，着力补链、强链、延链，促进产业链上下游协作配套，重点加大对2000万以下小微企业及各类创业项目的培育和扶持力度，增强全县整体经济活力。年内，新增规模以下工业小微企业100家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〔责任单位：工信局，各乡镇（街道）〕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b w:val="0"/>
          <w:bCs/>
          <w:snapToGrid w:val="0"/>
          <w:color w:val="auto"/>
          <w:highlight w:val="none"/>
          <w:u w:val="none"/>
        </w:rPr>
      </w:pP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  <w:t>三是围绕电商商贸创业。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将电子商务与现代农业、便民服务、高效物流、便捷交通、绿色生态等领域深度融合，持续深化与电商平台合作，推动电子商务产业不断集聚壮大；推进现代商贸业集聚发展，重点对有特色、有品牌商贸企业争取政策支持。年内，组织电商人才培训不低于1000人次，其中提升精英培训不少于200人；新增电商主体550个以上，新增电子商务交易额60亿元；新注册网络销售超1000万元以上的电商项目28个，带动就业1200人以上；</w:t>
      </w:r>
      <w:r>
        <w:rPr>
          <w:rFonts w:hint="default" w:ascii="Times New Roman" w:hAnsi="Times New Roman" w:eastAsia="方正仿宋_GBK" w:cs="Times New Roman"/>
          <w:b w:val="0"/>
          <w:bCs/>
          <w:strike w:val="0"/>
          <w:dstrike w:val="0"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新增批发零售住宿餐饮企业150家，新增批发零售住宿餐饮个体户500户，新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增电子商务入库企业41家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  <w:t>〔责任单位：商务局，各乡镇（街道）〕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</w:pP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四是围绕文化旅游创业。深入挖掘文化旅游内涵，根据县内景点旅游观光环线，鼓励群众将特色农产品、美食、手工编织等产品开发为旅游纪念品和当地特产，结合本地民俗文化，发展特色民宿1家，组织开展旅游讲解员、导游员等培训50人次，培训合格不少于50人，不断提升我县旅游公共服务质量和水平。年内，新增三星级以上标准的宾馆饭店或全国知名品牌连锁酒店（餐饮店）2家以上，新增旅行社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家以上，通过文化旅游创业活动吸纳就业400人。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  <w:t>〔责任单位：文广旅局，各乡镇（街道）〕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五是围绕特色服务业创业。加大交通运输、仓储和邮政业等特色服务业发展。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b w:val="0"/>
          <w:bCs/>
          <w:snapToGrid w:val="0"/>
          <w:color w:val="auto"/>
          <w:highlight w:val="none"/>
          <w:u w:val="none"/>
        </w:rPr>
      </w:pP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加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快推进电商物流城项目建设进程，实现物流行业集聚效应，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年内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新增物流运输市场主体300家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其中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物流运输企业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30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家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新增装卸搬运和仓储业企业20家，装卸搬运和仓储业个体户40家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  <w:t>〔责任单位：交通局，各乡镇（街道）〕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</w:pP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巩固村级寄递服务点建设成果，稳定运营村（居）党群服务中心叠加寄递服务点289个，各乡镇（街道）依托村级寄递服务点开设农副产品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上行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创业项目不少于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个</w:t>
      </w:r>
      <w:r>
        <w:rPr>
          <w:rFonts w:hint="default" w:ascii="Times New Roman" w:hAnsi="Times New Roman" w:eastAsia="方正仿宋_GBK" w:cs="Times New Roman"/>
          <w:b w:val="0"/>
          <w:bCs/>
          <w:strike w:val="0"/>
          <w:dstrike w:val="0"/>
          <w:snapToGrid w:val="0"/>
          <w:color w:val="auto"/>
          <w:highlight w:val="none"/>
          <w:u w:val="none"/>
          <w:lang w:eastAsia="zh-CN"/>
        </w:rPr>
        <w:t>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  <w:t>〔责任单位：邮政管理局，各乡镇（街道）〕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b w:val="0"/>
          <w:bCs/>
          <w:snapToGrid w:val="0"/>
          <w:color w:val="auto"/>
          <w:highlight w:val="none"/>
          <w:u w:val="none"/>
          <w:lang w:val="en-US"/>
        </w:rPr>
      </w:pP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鼓励社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会资源发展托育、养老事业，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提升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学龄前儿童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托育和养老服务水平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，解决青壮年劳动者投身创业就业后顾之忧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。年内，新增省级普惠托育项目1家、市级普惠托育项目2家、县级普惠托育项目2家；星级以上养老机构不少于1家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</w:rPr>
        <w:t>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  <w:t>〔责任单位：卫健局、民政局，各乡镇（街道）〕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b w:val="0"/>
          <w:bCs/>
          <w:snapToGrid w:val="0"/>
          <w:color w:val="auto"/>
          <w:highlight w:val="none"/>
          <w:u w:val="none"/>
        </w:rPr>
      </w:pPr>
      <w:r>
        <w:rPr>
          <w:rFonts w:hint="default" w:ascii="Times New Roman" w:hAnsi="Times New Roman" w:eastAsia="方正仿宋_GBK" w:cs="Times New Roman"/>
          <w:b w:val="0"/>
          <w:bCs/>
          <w:strike w:val="0"/>
          <w:dstrike w:val="0"/>
          <w:snapToGrid w:val="0"/>
          <w:color w:val="auto"/>
          <w:highlight w:val="none"/>
          <w:u w:val="none"/>
          <w:lang w:val="en-US" w:eastAsia="zh-CN"/>
        </w:rPr>
        <w:t>鼓励其他营业性服务业发展，包括软件信息、互联网、租赁、科技文化娱乐、体育及日常维修等服务，年内新增其他营利性服务业企业100家、新增个体500家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，居民服务企业</w:t>
      </w:r>
      <w:r>
        <w:rPr>
          <w:rFonts w:hint="default" w:ascii="Times New Roman" w:hAnsi="Times New Roman" w:eastAsia="方正仿宋_GBK" w:cs="Times New Roman"/>
          <w:b w:val="0"/>
          <w:bCs/>
          <w:strike w:val="0"/>
          <w:dstrike w:val="0"/>
          <w:snapToGrid w:val="0"/>
          <w:color w:val="auto"/>
          <w:highlight w:val="none"/>
          <w:u w:val="none"/>
          <w:lang w:val="en-US" w:eastAsia="zh-CN"/>
        </w:rPr>
        <w:t>60家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  <w:t>〔责任单位：发改局，各乡镇（街道）〕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Style w:val="15"/>
          <w:rFonts w:hint="default" w:ascii="Times New Roman" w:hAnsi="Times New Roman" w:eastAsia="方正黑体_GBK" w:cs="Times New Roman"/>
          <w:b w:val="0"/>
          <w:bCs/>
          <w:color w:val="auto"/>
          <w:highlight w:val="none"/>
          <w:u w:val="none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支持建筑领域、房产中介服务健康发展，年内新增房地产中介服务、房地产租赁经营企业20家，</w:t>
      </w:r>
      <w:r>
        <w:rPr>
          <w:rFonts w:hint="default" w:ascii="Times New Roman" w:hAnsi="Times New Roman" w:eastAsia="方正仿宋_GBK" w:cs="Times New Roman"/>
          <w:b w:val="0"/>
          <w:bCs/>
          <w:strike w:val="0"/>
          <w:dstrike w:val="0"/>
          <w:snapToGrid w:val="0"/>
          <w:color w:val="auto"/>
          <w:highlight w:val="none"/>
          <w:u w:val="none"/>
          <w:lang w:val="en-US" w:eastAsia="zh-CN"/>
        </w:rPr>
        <w:t>新增房地产中介服务、房地产租赁经营户100家，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highlight w:val="none"/>
          <w:u w:val="none"/>
          <w:lang w:val="en-US" w:eastAsia="zh-CN"/>
        </w:rPr>
        <w:t>新增建筑施工队、建筑业企业100家，新增个体建筑施工队300个</w:t>
      </w:r>
      <w:r>
        <w:rPr>
          <w:rFonts w:hint="default" w:ascii="Times New Roman" w:hAnsi="Times New Roman" w:eastAsia="方正黑体_GBK" w:cs="Times New Roman"/>
          <w:b w:val="0"/>
          <w:bCs/>
          <w:snapToGrid w:val="0"/>
          <w:color w:val="auto"/>
          <w:highlight w:val="none"/>
          <w:u w:val="none"/>
          <w:lang w:eastAsia="zh-CN"/>
        </w:rPr>
        <w:t>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  <w:t>〔责任单位：住建局，各乡镇（街道）〕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highlight w:val="none"/>
          <w:u w:val="none"/>
        </w:rPr>
        <w:t>（三）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聚焦载体提升培育创业主体。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</w:pP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一是建立创业资源共享平台。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各乡镇（街道）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建立全民创业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资源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共享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库，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加大孵化载体、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项目采集、建档、管理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及汇总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在人力资源市场及时发布孵化载体空余资源、扶持政策、项目订单等信息，实现场地共享、订单共享、员工共享，提供及时高效的创业服务保障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积极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盘活现有资源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对县</w:t>
      </w:r>
      <w:r>
        <w:rPr>
          <w:rStyle w:val="15"/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  <w:u w:val="none"/>
        </w:rPr>
        <w:t>内闲置</w:t>
      </w:r>
      <w:r>
        <w:rPr>
          <w:rStyle w:val="15"/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  <w:u w:val="none"/>
          <w:lang w:val="en-US" w:eastAsia="zh-CN"/>
        </w:rPr>
        <w:t>农房资源</w:t>
      </w:r>
      <w:r>
        <w:rPr>
          <w:rStyle w:val="15"/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  <w:u w:val="none"/>
          <w:lang w:eastAsia="zh-CN"/>
        </w:rPr>
        <w:t>、</w:t>
      </w:r>
      <w:r>
        <w:rPr>
          <w:rStyle w:val="15"/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  <w:u w:val="none"/>
          <w:lang w:val="en-US" w:eastAsia="zh-CN"/>
        </w:rPr>
        <w:t>集体资产、</w:t>
      </w:r>
      <w:r>
        <w:rPr>
          <w:rStyle w:val="15"/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  <w:u w:val="none"/>
        </w:rPr>
        <w:t>国有资产</w:t>
      </w:r>
      <w:r>
        <w:rPr>
          <w:rStyle w:val="15"/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  <w:u w:val="none"/>
          <w:lang w:val="en-US" w:eastAsia="zh-CN"/>
        </w:rPr>
        <w:t>等</w:t>
      </w:r>
      <w:r>
        <w:rPr>
          <w:rStyle w:val="15"/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  <w:u w:val="none"/>
        </w:rPr>
        <w:t>进行系统性梳理，</w:t>
      </w:r>
      <w:r>
        <w:rPr>
          <w:rStyle w:val="15"/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  <w:u w:val="none"/>
          <w:lang w:val="en-US" w:eastAsia="zh-CN"/>
        </w:rPr>
        <w:t>坚持创业载体</w:t>
      </w:r>
      <w:r>
        <w:rPr>
          <w:rStyle w:val="15"/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  <w:u w:val="none"/>
        </w:rPr>
        <w:t>围绕农房布点</w:t>
      </w:r>
      <w:r>
        <w:rPr>
          <w:rStyle w:val="15"/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  <w:u w:val="none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探索建立创业共享厂房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提升完善创业一条街孵化功能，</w:t>
      </w:r>
      <w:r>
        <w:rPr>
          <w:rStyle w:val="15"/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  <w:u w:val="none"/>
        </w:rPr>
        <w:t>大力</w:t>
      </w:r>
      <w:r>
        <w:rPr>
          <w:rStyle w:val="15"/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  <w:u w:val="none"/>
          <w:lang w:val="en-US" w:eastAsia="zh-CN"/>
        </w:rPr>
        <w:t>招引创业项目，</w:t>
      </w:r>
      <w:r>
        <w:rPr>
          <w:rStyle w:val="15"/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  <w:u w:val="none"/>
        </w:rPr>
        <w:t>加快</w:t>
      </w:r>
      <w:r>
        <w:rPr>
          <w:rStyle w:val="15"/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  <w:u w:val="none"/>
          <w:lang w:eastAsia="zh-CN"/>
        </w:rPr>
        <w:t>要素</w:t>
      </w:r>
      <w:r>
        <w:rPr>
          <w:rStyle w:val="15"/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  <w:u w:val="none"/>
        </w:rPr>
        <w:t>集聚</w:t>
      </w:r>
      <w:r>
        <w:rPr>
          <w:rStyle w:val="15"/>
          <w:rFonts w:hint="eastAsia" w:ascii="Times New Roman" w:hAnsi="Times New Roman" w:eastAsia="方正仿宋_GBK" w:cs="Times New Roman"/>
          <w:b w:val="0"/>
          <w:bCs/>
          <w:color w:val="auto"/>
          <w:sz w:val="32"/>
          <w:highlight w:val="none"/>
          <w:u w:val="none"/>
          <w:lang w:eastAsia="zh-CN"/>
        </w:rPr>
        <w:t>，</w:t>
      </w:r>
      <w:r>
        <w:rPr>
          <w:rStyle w:val="15"/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  <w:u w:val="none"/>
        </w:rPr>
        <w:t>提升生产</w:t>
      </w:r>
      <w:r>
        <w:rPr>
          <w:rStyle w:val="15"/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  <w:u w:val="none"/>
          <w:lang w:eastAsia="zh-CN"/>
        </w:rPr>
        <w:t>力水平，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以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共享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换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共赢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”</w:t>
      </w:r>
      <w:r>
        <w:rPr>
          <w:rStyle w:val="15"/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  <w:u w:val="none"/>
        </w:rPr>
        <w:t>，</w:t>
      </w:r>
      <w:r>
        <w:rPr>
          <w:rStyle w:val="15"/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  <w:u w:val="none"/>
          <w:lang w:val="en-US" w:eastAsia="zh-CN"/>
        </w:rPr>
        <w:t>实现富民增收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年内，各乡镇（街道）建立完善的创业资源信息库1个，全县开展创业推介活动不少于30场次。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〔责任单位：人社局，各乡镇（街道）〕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二是打造创业载体孵化平台。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提升现有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省、市级创业孵化基地、创业一条街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（创业园）服务功能，提高入驻率，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充分发挥载体孵化功能，形成滚动式孵化，注重引导项目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走出去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，支持创业项目做大做强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。年内，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建设省（市）级创业孵化基地1个以上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；</w:t>
      </w:r>
      <w:r>
        <w:rPr>
          <w:rStyle w:val="15"/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  <w:u w:val="none"/>
          <w:lang w:val="en-US" w:eastAsia="zh-CN"/>
        </w:rPr>
        <w:t>西南岗产业园、界集镇工业集中区、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上塘纺织服装园分别建成1个面积不少于4000㎡的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园区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孵化园，在孵项目不少于10个，其余</w:t>
      </w:r>
      <w:r>
        <w:rPr>
          <w:rFonts w:hint="default" w:ascii="Times New Roman" w:hAnsi="Times New Roman" w:eastAsia="方正仿宋_GBK" w:cs="Times New Roman"/>
          <w:b w:val="0"/>
          <w:bCs/>
          <w:strike w:val="0"/>
          <w:dstrike w:val="0"/>
          <w:snapToGrid w:val="0"/>
          <w:color w:val="auto"/>
          <w:sz w:val="32"/>
          <w:szCs w:val="32"/>
          <w:highlight w:val="none"/>
          <w:u w:val="none"/>
          <w:lang w:val="en-US" w:eastAsia="zh-CN"/>
        </w:rPr>
        <w:t>乡镇（街道）在工业园区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建成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（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提升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）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1个孵化面积不少于3000㎡、在孵企业数不少于5家的镇级创业园；每个乡镇（街道）</w:t>
      </w:r>
      <w:r>
        <w:rPr>
          <w:rFonts w:hint="eastAsia" w:ascii="Times New Roman" w:hAnsi="Times New Roman" w:eastAsia="方正仿宋_GBK" w:cs="Times New Roman"/>
          <w:b w:val="0"/>
          <w:bCs/>
          <w:strike w:val="0"/>
          <w:dstrike w:val="0"/>
          <w:snapToGrid w:val="0"/>
          <w:color w:val="auto"/>
          <w:sz w:val="32"/>
          <w:szCs w:val="32"/>
          <w:highlight w:val="none"/>
          <w:u w:val="none"/>
          <w:lang w:val="en-US" w:eastAsia="zh-CN"/>
        </w:rPr>
        <w:t>建成（提升）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1个面积不少于3000㎡、入驻项目不少于15个、带动就业不低于1:10的创业一条街。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〔责任单位：发改局、人社局，各乡镇（街道）〕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b w:val="0"/>
          <w:bCs/>
          <w:snapToGrid w:val="0"/>
          <w:color w:val="auto"/>
          <w:sz w:val="32"/>
          <w:highlight w:val="none"/>
          <w:u w:val="none"/>
        </w:rPr>
      </w:pP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三是构建良性互动交流平台。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组织开展2024年各类创新创业大赛，支持优秀创业者参加省、市各条线创新创业大赛，鼓励各创业载体定期举办创业座谈会、分享会、项目路演等活动，为创业者及时了解政策和行业信息、学习积累行业经验、寻找合作伙伴和创业投资人提供交流、对接和辅导平台，不断激发全社会创新创业热情，打响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创赢泗洪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品牌。年内，开展系列创业活动不少45场次，其中每个乡镇（街道）举办创业座谈会、分享会、项目路演等各类创业类活动不少于2场。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〔责任单位：团县委，各乡镇（街道）〕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highlight w:val="none"/>
          <w:u w:val="none"/>
        </w:rPr>
        <w:t>（四）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聚焦服务保障培育创业主体。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</w:pP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一是完善创业培训服务体系，激发创业活力。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以培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养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创业精神、增强创业意识、提高创业能力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为工作重点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根据创业者在初创期、成长期等阶段需求，围绕平台经济、共享经济等新经济模式和灵活就业新形态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结合县人力资源市场建设，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打造县就业创业服务中心，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接入省人社一体化平台、江苏智慧就业云平台等信息化系统，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聘请职能部门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专业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人员、成功创业典型组成创业专家咨询队伍，为创业人员提供政策咨询、项目推介和开业指导等服务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实现职业介绍、创业指导、技能培训、创业信息线上和线下同步发布及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专项培训（实训）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等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同时，组织县内优秀创业者、创业服务人员赴创业先进地区开展专项创业交流活动，开拓创业眼界、提升创业认知、激发创业新思路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。年内，开展系列创业培训不少于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1500人次，组织县内优秀创业者开展外出培训学习不少于1次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〔责任单位：人社局，各乡镇（街道）〕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</w:pP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二是发挥创业政策激励功能，优化创业环境。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县财政设立全民创业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风险扶持资金5000万元、富民创业担保基金6000万元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用于支持全民创业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，加大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富民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创业贷款投放力度，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重点扶持小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微企业贷款，对全民创业在建项目允许以土地、在建厂房、知识产权等为抵押获得贷款，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鼓励扶持创业项目为员工缴纳社会保险，利用财政贴息支持企业发展，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年内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累计发放富民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创业贷款不少于10亿元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对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符合奖补标准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的创业主体、创业项目应补尽补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。</w:t>
      </w:r>
      <w:r>
        <w:rPr>
          <w:rStyle w:val="15"/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  <w:u w:val="none"/>
          <w:lang w:val="en-US" w:eastAsia="zh-CN"/>
        </w:rPr>
        <w:t>加大创业项目保护，优化营商环境，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简化审批程序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工作流程，减少办事环节，助力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创业项目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办事方式便捷化、办事过程极简化</w:t>
      </w:r>
      <w:r>
        <w:rPr>
          <w:rStyle w:val="15"/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  <w:u w:val="none"/>
          <w:lang w:val="en-US" w:eastAsia="zh-CN"/>
        </w:rPr>
        <w:t>，营造良好的创业环境。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〔责任单位：财政局，各乡镇（街道）〕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三是加大就业创业宣传力度，营造创业氛围。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加强政策宣传，发挥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撬动作用。持续强化全民创业风险扶持资金、担保基金、担保贷款等惠企利民政策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宣传工作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充分发挥财政资金引导和撬动作用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。讲好创业创新故事，激发创业干劲。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通过新闻报道、专题报道、深度报道等形式，着力宣传创新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创业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企业、创新成果、创新品牌，善于发现和大力宣传有创新潜力的特色小微企业，把宣传创新成果与宣传创业人物结合起来，讲述艰辛奋斗的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创新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创业故事，激发全社会的创新创造活力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。总结各地各部门经验做法，挖掘特色亮点。围绕全民创业工作方案要求，及时发现并总结部门和乡镇（街道）工作中好的经验做法，及时推出一批有深度、有力度的宣传报道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〔责任单位：宣传部，各乡镇（街道）〕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b w:val="0"/>
          <w:bCs/>
          <w:snapToGrid w:val="0"/>
          <w:color w:val="auto"/>
          <w:sz w:val="32"/>
          <w:highlight w:val="none"/>
          <w:u w:val="none"/>
        </w:rPr>
      </w:pPr>
      <w:r>
        <w:rPr>
          <w:rFonts w:hint="default" w:ascii="Times New Roman" w:hAnsi="Times New Roman" w:eastAsia="方正黑体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三</w:t>
      </w:r>
      <w:r>
        <w:rPr>
          <w:rFonts w:hint="default" w:ascii="Times New Roman" w:hAnsi="Times New Roman" w:eastAsia="方正黑体_GBK" w:cs="Times New Roman"/>
          <w:b w:val="0"/>
          <w:bCs/>
          <w:snapToGrid w:val="0"/>
          <w:color w:val="auto"/>
          <w:sz w:val="32"/>
          <w:highlight w:val="none"/>
          <w:u w:val="none"/>
        </w:rPr>
        <w:t>、保障措施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highlight w:val="none"/>
          <w:u w:val="none"/>
        </w:rPr>
        <w:t>（一）强化统筹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推动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highlight w:val="none"/>
          <w:u w:val="none"/>
        </w:rPr>
        <w:t>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充分发挥全民创业工作联席会议机制作用，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县创业办要牵头抓总，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统筹全县全民创业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工作；各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责任单位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要及时出台各项指标考核细则，主动沟通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对接，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整理指标完成情况，收集工作存在问题，并按要求上报县创业办。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根据工作需要，定期召开联席会议，总结工作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开展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情况，分析研判存在的问题短板，及时解决推进过程中遇到的痛点堵点，推动全民创业工作快速发展。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highlight w:val="none"/>
          <w:u w:val="none"/>
        </w:rPr>
        <w:t>（二）强化责任落实。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各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乡镇（街道）以指标任务为导向，围绕目标抓落实，列出任务清单，制定工作细则，明确专人负责，强化担当作为，进一步压实工作职责；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各开发区（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园区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）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和县直有关部门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要明确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全年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工作目标和重点任务，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把推进全民创业工作摆在重要位置，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完善工作机制，扛起工作责任，加强协调联动，认真落实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全民创业工作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各项要求，形成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一盘棋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合力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</w:rPr>
      </w:pP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highlight w:val="none"/>
          <w:u w:val="none"/>
        </w:rPr>
        <w:t>（三）强化督导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考核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highlight w:val="none"/>
          <w:u w:val="none"/>
        </w:rPr>
        <w:t>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建立健全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双月观摩、季度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考核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、年度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评比”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机制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</w:rPr>
        <w:t>将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lang w:val="en-US" w:eastAsia="zh-CN"/>
        </w:rPr>
        <w:t>全民创业工作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</w:rPr>
        <w:t>纳入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  <w:lang w:val="en-US" w:eastAsia="zh-CN"/>
        </w:rPr>
        <w:t>全县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</w:rPr>
        <w:t>高质量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  <w:lang w:val="en-US" w:eastAsia="zh-CN"/>
        </w:rPr>
        <w:t>发展综合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</w:rPr>
        <w:t>考核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  <w:lang w:val="en-US" w:eastAsia="zh-CN"/>
        </w:rPr>
        <w:t>体系，严格按照考评办法进行考核。县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</w:rPr>
        <w:t>创业办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  <w:lang w:val="en-US" w:eastAsia="zh-CN"/>
        </w:rPr>
        <w:t>要会同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</w:rPr>
        <w:t>县委研究室、县作风办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加强对工作落实情况的监督检查，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</w:rPr>
        <w:t>全面实施季度现场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  <w:lang w:val="en-US" w:eastAsia="zh-CN"/>
        </w:rPr>
        <w:t>核查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</w:rPr>
        <w:t>推进举措，严格把关指标完成材料，确保工作的真实性，强力促进全县全民创业工作落地落细落实。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highlight w:val="none"/>
        </w:rPr>
      </w:pPr>
    </w:p>
    <w:p>
      <w:pPr>
        <w:pStyle w:val="11"/>
        <w:rPr>
          <w:rFonts w:hint="default" w:ascii="Times New Roman" w:hAnsi="Times New Roman" w:cs="Times New Roman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pBdr>
          <w:top w:val="single" w:color="auto" w:sz="6" w:space="1"/>
          <w:bottom w:val="single" w:color="auto" w:sz="6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480" w:lineRule="exact"/>
        <w:ind w:left="0" w:leftChars="0" w:firstLine="238" w:firstLineChars="85"/>
        <w:textAlignment w:val="auto"/>
        <w:rPr>
          <w:rFonts w:hint="default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泗洪县人民政府办公室    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 xml:space="preserve">                  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     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  2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02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年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月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22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日印发</w:t>
      </w:r>
    </w:p>
    <w:sectPr>
      <w:footerReference r:id="rId3" w:type="default"/>
      <w:pgSz w:w="11906" w:h="16838"/>
      <w:pgMar w:top="2041" w:right="1531" w:bottom="2098" w:left="1531" w:header="851" w:footer="1474" w:gutter="0"/>
      <w:pgNumType w:fmt="decimal"/>
      <w:cols w:space="0" w:num="1"/>
      <w:rtlGutter w:val="0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37D6EFBD-A0ED-433C-AACF-9E9167FA0D9E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A8FD024B-1773-4883-B6A3-DB83C0E4F7D7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3" w:fontKey="{99B22F62-DEB9-44BD-A122-79A3537430E9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7141EE25-F21F-4CCB-B357-B137842F491A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5" w:fontKey="{B464C22C-E414-49F5-83EA-3DE2B41E54A0}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  <w:embedRegular r:id="rId6" w:fontKey="{4667B3A1-F69E-405C-AF36-3B7A34E91D4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853FF002-8C50-4A78-8B3D-0701D9520044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8" w:fontKey="{EC69F003-E9D4-478F-B01A-DBBEB4D13CC7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9" w:fontKey="{6ADA8CB1-AD31-4330-A95A-3FCDD87DEE27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0" w:fontKey="{27A5DC8C-FD5C-4147-A2B9-877FC1F959B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ind w:left="330" w:leftChars="150" w:right="330" w:rightChars="150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15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left="330" w:leftChars="150" w:right="330" w:rightChars="150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15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7B12E3"/>
    <w:multiLevelType w:val="singleLevel"/>
    <w:tmpl w:val="327B12E3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1OWNjNTlmZWQ1ZmIyMGI2NWQzZWYwZjU3YzVhYmMifQ=="/>
  </w:docVars>
  <w:rsids>
    <w:rsidRoot w:val="00A62B7B"/>
    <w:rsid w:val="000A4B41"/>
    <w:rsid w:val="00113118"/>
    <w:rsid w:val="0016056D"/>
    <w:rsid w:val="001A74AE"/>
    <w:rsid w:val="003762D9"/>
    <w:rsid w:val="005B7B44"/>
    <w:rsid w:val="005E3AC8"/>
    <w:rsid w:val="006939FF"/>
    <w:rsid w:val="0087240D"/>
    <w:rsid w:val="008C3B3F"/>
    <w:rsid w:val="00920772"/>
    <w:rsid w:val="009224FE"/>
    <w:rsid w:val="009D1981"/>
    <w:rsid w:val="00A62B7B"/>
    <w:rsid w:val="00BE230E"/>
    <w:rsid w:val="00DF32C8"/>
    <w:rsid w:val="00FD111D"/>
    <w:rsid w:val="02740E3A"/>
    <w:rsid w:val="04F03D64"/>
    <w:rsid w:val="05F92922"/>
    <w:rsid w:val="064433C3"/>
    <w:rsid w:val="07210BAE"/>
    <w:rsid w:val="07BF2EB5"/>
    <w:rsid w:val="09773BB3"/>
    <w:rsid w:val="0B105CF1"/>
    <w:rsid w:val="0B9B5682"/>
    <w:rsid w:val="0BAF315E"/>
    <w:rsid w:val="0BFF4AE0"/>
    <w:rsid w:val="0C403BC8"/>
    <w:rsid w:val="0DD73E1C"/>
    <w:rsid w:val="0DE90847"/>
    <w:rsid w:val="0EDB3A77"/>
    <w:rsid w:val="10BD66EB"/>
    <w:rsid w:val="11C24EA0"/>
    <w:rsid w:val="12754EEA"/>
    <w:rsid w:val="130D765B"/>
    <w:rsid w:val="13256975"/>
    <w:rsid w:val="138B2595"/>
    <w:rsid w:val="14606101"/>
    <w:rsid w:val="15A44ED9"/>
    <w:rsid w:val="15B64D8D"/>
    <w:rsid w:val="16B85D0A"/>
    <w:rsid w:val="180609BC"/>
    <w:rsid w:val="181E45ED"/>
    <w:rsid w:val="18742F59"/>
    <w:rsid w:val="18AC2568"/>
    <w:rsid w:val="19F751DE"/>
    <w:rsid w:val="1B03542E"/>
    <w:rsid w:val="1B0C2D6D"/>
    <w:rsid w:val="1C9F29E1"/>
    <w:rsid w:val="1D2D7EB9"/>
    <w:rsid w:val="1DE4085F"/>
    <w:rsid w:val="1E2702A6"/>
    <w:rsid w:val="1F396E87"/>
    <w:rsid w:val="223747D9"/>
    <w:rsid w:val="226E6748"/>
    <w:rsid w:val="22811D89"/>
    <w:rsid w:val="2288155B"/>
    <w:rsid w:val="22F21432"/>
    <w:rsid w:val="22FD7F23"/>
    <w:rsid w:val="2304426E"/>
    <w:rsid w:val="231A12B6"/>
    <w:rsid w:val="23AF1CA5"/>
    <w:rsid w:val="24462003"/>
    <w:rsid w:val="249D3757"/>
    <w:rsid w:val="24B31941"/>
    <w:rsid w:val="266D4CF0"/>
    <w:rsid w:val="26A306B3"/>
    <w:rsid w:val="27374EAA"/>
    <w:rsid w:val="27A26C29"/>
    <w:rsid w:val="288522D3"/>
    <w:rsid w:val="293E029D"/>
    <w:rsid w:val="2AA06E3F"/>
    <w:rsid w:val="2B6B3FD0"/>
    <w:rsid w:val="2C200BF3"/>
    <w:rsid w:val="2C97763A"/>
    <w:rsid w:val="2D2029EF"/>
    <w:rsid w:val="2DD97667"/>
    <w:rsid w:val="34860233"/>
    <w:rsid w:val="350A1A33"/>
    <w:rsid w:val="350E769E"/>
    <w:rsid w:val="35C664F6"/>
    <w:rsid w:val="36A45152"/>
    <w:rsid w:val="3756532C"/>
    <w:rsid w:val="37637DE2"/>
    <w:rsid w:val="38513C45"/>
    <w:rsid w:val="38962237"/>
    <w:rsid w:val="391D3FC2"/>
    <w:rsid w:val="3A6E5FCE"/>
    <w:rsid w:val="3C0636F9"/>
    <w:rsid w:val="3E3F789D"/>
    <w:rsid w:val="40C17CBA"/>
    <w:rsid w:val="43536D86"/>
    <w:rsid w:val="43B93D30"/>
    <w:rsid w:val="44E60DB6"/>
    <w:rsid w:val="45EE12BB"/>
    <w:rsid w:val="46232CD1"/>
    <w:rsid w:val="47332F94"/>
    <w:rsid w:val="475C1134"/>
    <w:rsid w:val="47670484"/>
    <w:rsid w:val="485B78C5"/>
    <w:rsid w:val="48DF6C7B"/>
    <w:rsid w:val="49133496"/>
    <w:rsid w:val="493B15E1"/>
    <w:rsid w:val="4A304086"/>
    <w:rsid w:val="4A6A6BE1"/>
    <w:rsid w:val="4AF546A1"/>
    <w:rsid w:val="4B0D4E9C"/>
    <w:rsid w:val="4B466C88"/>
    <w:rsid w:val="4BF01670"/>
    <w:rsid w:val="4CFC4B37"/>
    <w:rsid w:val="4D525A54"/>
    <w:rsid w:val="4D77007F"/>
    <w:rsid w:val="4D922050"/>
    <w:rsid w:val="4DA41AB0"/>
    <w:rsid w:val="4E9927B8"/>
    <w:rsid w:val="4F6F0AE2"/>
    <w:rsid w:val="5015592D"/>
    <w:rsid w:val="53183AB3"/>
    <w:rsid w:val="53276F86"/>
    <w:rsid w:val="534D58F1"/>
    <w:rsid w:val="538D1A0A"/>
    <w:rsid w:val="53B1779E"/>
    <w:rsid w:val="53F645FF"/>
    <w:rsid w:val="5507618C"/>
    <w:rsid w:val="55362887"/>
    <w:rsid w:val="55DB23F3"/>
    <w:rsid w:val="55E62973"/>
    <w:rsid w:val="563B1598"/>
    <w:rsid w:val="571F3ECE"/>
    <w:rsid w:val="572E6526"/>
    <w:rsid w:val="5780483B"/>
    <w:rsid w:val="58643708"/>
    <w:rsid w:val="59782229"/>
    <w:rsid w:val="5A8D12B3"/>
    <w:rsid w:val="5B0E0FDC"/>
    <w:rsid w:val="5B45050F"/>
    <w:rsid w:val="5B6065F6"/>
    <w:rsid w:val="5B7B51DE"/>
    <w:rsid w:val="5B8E5344"/>
    <w:rsid w:val="5C4E40FD"/>
    <w:rsid w:val="5C814A76"/>
    <w:rsid w:val="5CEF6FA2"/>
    <w:rsid w:val="5D433CD6"/>
    <w:rsid w:val="5DDB1F64"/>
    <w:rsid w:val="5E6C2726"/>
    <w:rsid w:val="5E83522C"/>
    <w:rsid w:val="5F1377FD"/>
    <w:rsid w:val="5F500988"/>
    <w:rsid w:val="60712FA1"/>
    <w:rsid w:val="612E572C"/>
    <w:rsid w:val="617814AA"/>
    <w:rsid w:val="618A2E86"/>
    <w:rsid w:val="62B60C0D"/>
    <w:rsid w:val="63161C90"/>
    <w:rsid w:val="638D48F3"/>
    <w:rsid w:val="675D18DD"/>
    <w:rsid w:val="6935197E"/>
    <w:rsid w:val="69E86E4D"/>
    <w:rsid w:val="6AF15D38"/>
    <w:rsid w:val="6CD152BA"/>
    <w:rsid w:val="6E5E7209"/>
    <w:rsid w:val="6E9D5013"/>
    <w:rsid w:val="6EA22D75"/>
    <w:rsid w:val="6F17253D"/>
    <w:rsid w:val="6FBA1067"/>
    <w:rsid w:val="7023779A"/>
    <w:rsid w:val="7135349E"/>
    <w:rsid w:val="716952A0"/>
    <w:rsid w:val="7188422C"/>
    <w:rsid w:val="733B45A0"/>
    <w:rsid w:val="738C61E9"/>
    <w:rsid w:val="750B2D4E"/>
    <w:rsid w:val="769F1D04"/>
    <w:rsid w:val="77222583"/>
    <w:rsid w:val="77242EC4"/>
    <w:rsid w:val="77D519BE"/>
    <w:rsid w:val="77EB0869"/>
    <w:rsid w:val="78747237"/>
    <w:rsid w:val="78A8212C"/>
    <w:rsid w:val="78DB095D"/>
    <w:rsid w:val="7B503B39"/>
    <w:rsid w:val="7D454F63"/>
    <w:rsid w:val="7E305439"/>
    <w:rsid w:val="7E5B2E0E"/>
    <w:rsid w:val="7EB91AFA"/>
    <w:rsid w:val="7F0B7F6B"/>
    <w:rsid w:val="7F767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方正小标宋简体" w:hAnsi="方正小标宋简体" w:eastAsia="方正小标宋简体" w:cs="方正小标宋简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</w:style>
  <w:style w:type="paragraph" w:styleId="4">
    <w:name w:val="Body Text"/>
    <w:basedOn w:val="1"/>
    <w:next w:val="1"/>
    <w:qFormat/>
    <w:uiPriority w:val="1"/>
    <w:rPr>
      <w:sz w:val="78"/>
      <w:szCs w:val="78"/>
    </w:rPr>
  </w:style>
  <w:style w:type="paragraph" w:styleId="5">
    <w:name w:val="Body Text Indent"/>
    <w:basedOn w:val="1"/>
    <w:next w:val="1"/>
    <w:semiHidden/>
    <w:unhideWhenUsed/>
    <w:qFormat/>
    <w:uiPriority w:val="99"/>
    <w:pPr>
      <w:spacing w:after="120"/>
      <w:ind w:left="420" w:left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8">
    <w:name w:val="index 9"/>
    <w:basedOn w:val="1"/>
    <w:next w:val="1"/>
    <w:qFormat/>
    <w:uiPriority w:val="0"/>
    <w:pPr>
      <w:ind w:left="3360"/>
    </w:p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</w:pPr>
    <w:rPr>
      <w:rFonts w:ascii="宋体" w:eastAsia="宋体" w:hAnsiTheme="minorHAnsi" w:cstheme="minorBidi"/>
      <w:kern w:val="2"/>
      <w:sz w:val="24"/>
      <w:lang w:val="en-US" w:bidi="ar-SA"/>
    </w:rPr>
  </w:style>
  <w:style w:type="paragraph" w:styleId="10">
    <w:name w:val="Title"/>
    <w:basedOn w:val="1"/>
    <w:next w:val="5"/>
    <w:qFormat/>
    <w:uiPriority w:val="0"/>
    <w:pPr>
      <w:ind w:left="640" w:leftChars="200"/>
      <w:outlineLvl w:val="0"/>
    </w:pPr>
    <w:rPr>
      <w:rFonts w:ascii="Arial" w:hAnsi="Arial" w:eastAsia="仿宋_GB2312" w:cs="Arial"/>
      <w:b/>
      <w:bCs/>
      <w:sz w:val="32"/>
      <w:szCs w:val="32"/>
    </w:rPr>
  </w:style>
  <w:style w:type="paragraph" w:styleId="11">
    <w:name w:val="Body Text First Indent 2"/>
    <w:basedOn w:val="5"/>
    <w:next w:val="8"/>
    <w:unhideWhenUsed/>
    <w:qFormat/>
    <w:uiPriority w:val="99"/>
    <w:pPr>
      <w:spacing w:line="360" w:lineRule="auto"/>
      <w:ind w:firstLine="420" w:firstLineChars="200"/>
    </w:pPr>
    <w:rPr>
      <w:rFonts w:ascii="Times New Roman" w:hAnsi="Times New Roman" w:cs="Times New Roman"/>
      <w:sz w:val="28"/>
      <w:szCs w:val="28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rFonts w:ascii="Times New Roman" w:hAnsi="Times New Roman" w:eastAsia="宋体" w:cs="Times New Roman"/>
      <w:b/>
    </w:rPr>
  </w:style>
  <w:style w:type="table" w:customStyle="1" w:styleId="1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7">
    <w:name w:val="List Paragraph"/>
    <w:basedOn w:val="1"/>
    <w:qFormat/>
    <w:uiPriority w:val="1"/>
  </w:style>
  <w:style w:type="paragraph" w:customStyle="1" w:styleId="18">
    <w:name w:val="Table Paragraph"/>
    <w:basedOn w:val="1"/>
    <w:qFormat/>
    <w:uiPriority w:val="1"/>
  </w:style>
  <w:style w:type="character" w:customStyle="1" w:styleId="19">
    <w:name w:val="ca-21"/>
    <w:basedOn w:val="14"/>
    <w:qFormat/>
    <w:uiPriority w:val="0"/>
    <w:rPr>
      <w:rFonts w:ascii="仿宋_GB2312" w:eastAsia="仿宋_GB231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F0963D9-DB45-49CD-BAE6-F38A4D298FC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5771</Words>
  <Characters>6058</Characters>
  <Lines>6</Lines>
  <Paragraphs>1</Paragraphs>
  <TotalTime>5</TotalTime>
  <ScaleCrop>false</ScaleCrop>
  <LinksUpToDate>false</LinksUpToDate>
  <CharactersWithSpaces>6142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2018-04-09T09:02:00Z</dcterms:created>
  <dc:creator>txw1</dc:creator>
  <cp:lastModifiedBy>NTKO</cp:lastModifiedBy>
  <cp:lastPrinted>2024-03-25T01:28:00Z</cp:lastPrinted>
  <dcterms:modified xsi:type="dcterms:W3CDTF">2024-07-03T09:14:23Z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2017-10-17T00:00:00Z</vt:filetime>
  </property>
  <property fmtid="{D5CDD505-2E9C-101B-9397-08002B2CF9AE}" pid="3" name="LastSaved">
    <vt:filetime>2017-10-17T00:00:00Z</vt:filetime>
  </property>
  <property fmtid="{D5CDD505-2E9C-101B-9397-08002B2CF9AE}" pid="4" name="KSOProductBuildVer">
    <vt:lpwstr>2052-11.1.0.9740</vt:lpwstr>
  </property>
  <property fmtid="{D5CDD505-2E9C-101B-9397-08002B2CF9AE}" pid="5" name="ICV">
    <vt:lpwstr>2865B11BB7694AEFA5D48AA36EDC872E_13</vt:lpwstr>
  </property>
  <property fmtid="{D5CDD505-2E9C-101B-9397-08002B2CF9AE}" pid="6" name="KSOSaveFontToCloudKey">
    <vt:lpwstr>481061627_embed</vt:lpwstr>
  </property>
</Properties>
</file>