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560" w:lineRule="exact"/>
        <w:jc w:val="center"/>
        <w:textAlignment w:val="auto"/>
        <w:outlineLvl w:val="9"/>
        <w:rPr>
          <w:rFonts w:hint="default" w:ascii="Times New Roman" w:hAnsi="Times New Roman" w:eastAsia="方正小标宋简体" w:cs="Times New Roman"/>
          <w:b/>
          <w:color w:val="FF0000"/>
          <w:spacing w:val="128"/>
          <w:w w:val="50"/>
          <w:sz w:val="160"/>
          <w:szCs w:val="160"/>
        </w:rPr>
      </w:pPr>
    </w:p>
    <w:p>
      <w:pPr>
        <w:keepNext w:val="0"/>
        <w:keepLines w:val="0"/>
        <w:pageBreakBefore w:val="0"/>
        <w:widowControl w:val="0"/>
        <w:kinsoku/>
        <w:wordWrap/>
        <w:overflowPunct/>
        <w:topLinePunct w:val="0"/>
        <w:autoSpaceDE/>
        <w:autoSpaceDN/>
        <w:bidi w:val="0"/>
        <w:adjustRightInd/>
        <w:snapToGrid/>
        <w:spacing w:before="57" w:beforeLines="10"/>
        <w:jc w:val="center"/>
        <w:textAlignment w:val="auto"/>
        <w:rPr>
          <w:rFonts w:hint="eastAsia" w:ascii="Times New Roman" w:hAnsi="Times New Roman" w:eastAsia="方正小标宋简体" w:cs="Times New Roman"/>
          <w:b/>
          <w:color w:val="FFFFFF" w:themeColor="background1"/>
          <w:spacing w:val="57"/>
          <w:w w:val="50"/>
          <w:sz w:val="160"/>
          <w:szCs w:val="160"/>
          <w:lang w:eastAsia="zh-CN"/>
          <w14:textFill>
            <w14:solidFill>
              <w14:schemeClr w14:val="bg1"/>
            </w14:solidFill>
          </w14:textFill>
        </w:rPr>
      </w:pPr>
      <w:r>
        <w:rPr>
          <w:rFonts w:hint="eastAsia" w:ascii="Times New Roman" w:hAnsi="Times New Roman" w:eastAsia="方正小标宋简体" w:cs="Times New Roman"/>
          <w:b/>
          <w:color w:val="FFFFFF" w:themeColor="background1"/>
          <w:spacing w:val="28"/>
          <w:w w:val="42"/>
          <w:sz w:val="160"/>
          <w:szCs w:val="160"/>
          <w:lang w:val="en-US" w:eastAsia="zh-CN"/>
          <w14:textFill>
            <w14:solidFill>
              <w14:schemeClr w14:val="bg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210" w:leftChars="100" w:right="210" w:rightChars="10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210" w:leftChars="100" w:right="210" w:rightChars="100"/>
        <w:jc w:val="center"/>
        <w:textAlignment w:val="auto"/>
        <w:rPr>
          <w:rFonts w:hint="default" w:ascii="Times New Roman" w:hAnsi="Times New Roman" w:eastAsia="方正仿宋简体" w:cs="Times New Roman"/>
          <w:sz w:val="32"/>
          <w:szCs w:val="32"/>
        </w:rPr>
      </w:pPr>
      <w:r>
        <w:rPr>
          <w:rFonts w:hint="default" w:ascii="Times New Roman" w:hAnsi="Times New Roman" w:eastAsia="方正仿宋_GBK" w:cs="Times New Roman"/>
          <w:sz w:val="32"/>
          <w:szCs w:val="32"/>
        </w:rPr>
        <w:t>洪政</w:t>
      </w:r>
      <w:r>
        <w:rPr>
          <w:rFonts w:hint="default" w:ascii="Times New Roman" w:hAnsi="Times New Roman" w:eastAsia="方正仿宋_GBK" w:cs="Times New Roman"/>
          <w:sz w:val="32"/>
          <w:szCs w:val="32"/>
          <w:lang w:eastAsia="zh-CN"/>
        </w:rPr>
        <w:t>办</w:t>
      </w:r>
      <w:r>
        <w:rPr>
          <w:rFonts w:hint="default" w:ascii="Times New Roman" w:hAnsi="Times New Roman" w:eastAsia="方正仿宋_GBK" w:cs="Times New Roman"/>
          <w:sz w:val="32"/>
          <w:szCs w:val="32"/>
        </w:rPr>
        <w:t>发〔20</w:t>
      </w:r>
      <w:r>
        <w:rPr>
          <w:rFonts w:hint="eastAsia"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eastAsia" w:ascii="Times New Roman" w:eastAsia="方正仿宋_GBK" w:cs="Times New Roman"/>
          <w:sz w:val="32"/>
          <w:szCs w:val="32"/>
          <w:lang w:val="en-US" w:eastAsia="zh-CN"/>
        </w:rPr>
        <w:t>11</w:t>
      </w:r>
      <w:r>
        <w:rPr>
          <w:rFonts w:hint="default" w:ascii="Times New Roman" w:hAnsi="Times New Roman" w:eastAsia="方正仿宋_GBK" w:cs="Times New Roman"/>
          <w:sz w:val="32"/>
          <w:szCs w:val="32"/>
        </w:rPr>
        <w:t>号</w:t>
      </w:r>
    </w:p>
    <w:p>
      <w:pPr>
        <w:spacing w:line="227" w:lineRule="exac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155" w:rightChars="-74" w:firstLine="0" w:firstLineChars="0"/>
        <w:jc w:val="center"/>
        <w:textAlignment w:val="auto"/>
        <w:outlineLvl w:val="9"/>
        <w:rPr>
          <w:rFonts w:eastAsia="楷体_GB2312"/>
          <w:sz w:val="28"/>
          <w:szCs w:val="28"/>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县政府办公室关于印发县级实行</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告知承诺制证明事项清单（第三批）的通知</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各乡镇人民政府、各街道办事处，县各有关部门和单位：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为全面推行证明事项告知承诺制，根据《市政府办公室关于印发全面推行证明事项告知承诺制实施方案的通知》</w:t>
      </w:r>
      <w:r>
        <w:rPr>
          <w:rFonts w:hint="eastAsia" w:ascii="Times New Roman" w:hAnsi="Times New Roman" w:eastAsia="方正仿宋_GBK" w:cs="Times New Roman"/>
          <w:sz w:val="32"/>
          <w:szCs w:val="32"/>
          <w:lang w:val="en-US" w:eastAsia="zh-CN"/>
        </w:rPr>
        <w:t>（宿政办发</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8号）、《市政府办公室关于印发市级实行告知承诺制证明事项清单（第三批）的通知》（宿政办发</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5号）要求，现将《县级实行告知承诺制证明事项清单（第三批）》印发给你们，请认真抓好落实。</w:t>
      </w:r>
    </w:p>
    <w:p>
      <w:pPr>
        <w:pStyle w:val="8"/>
        <w:keepNext w:val="0"/>
        <w:keepLines w:val="0"/>
        <w:pageBreakBefore w:val="0"/>
        <w:widowControl w:val="0"/>
        <w:kinsoku/>
        <w:overflowPunct/>
        <w:topLinePunct w:val="0"/>
        <w:autoSpaceDE/>
        <w:autoSpaceDN/>
        <w:bidi w:val="0"/>
        <w:spacing w:line="560"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p>
    <w:p>
      <w:pPr>
        <w:pStyle w:val="8"/>
        <w:keepNext w:val="0"/>
        <w:keepLines w:val="0"/>
        <w:pageBreakBefore w:val="0"/>
        <w:widowControl w:val="0"/>
        <w:kinsoku/>
        <w:overflowPunct/>
        <w:topLinePunct w:val="0"/>
        <w:autoSpaceDE/>
        <w:autoSpaceDN/>
        <w:bidi w:val="0"/>
        <w:spacing w:line="560" w:lineRule="exact"/>
        <w:ind w:left="0" w:lef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（此页无正文）</w:t>
      </w:r>
    </w:p>
    <w:p>
      <w:pPr>
        <w:keepNext w:val="0"/>
        <w:keepLines w:val="0"/>
        <w:pageBreakBefore w:val="0"/>
        <w:widowControl w:val="0"/>
        <w:kinsoku/>
        <w:overflowPunct/>
        <w:topLinePunct w:val="0"/>
        <w:autoSpaceDE/>
        <w:autoSpaceDN/>
        <w:bidi w:val="0"/>
        <w:spacing w:line="560" w:lineRule="exact"/>
        <w:jc w:val="both"/>
        <w:textAlignment w:val="auto"/>
        <w:rPr>
          <w:rFonts w:hint="eastAsia"/>
          <w:lang w:val="en-US" w:eastAsia="zh-CN"/>
        </w:rPr>
      </w:pPr>
    </w:p>
    <w:p>
      <w:pPr>
        <w:pStyle w:val="2"/>
        <w:keepNext w:val="0"/>
        <w:keepLines w:val="0"/>
        <w:pageBreakBefore w:val="0"/>
        <w:widowControl w:val="0"/>
        <w:kinsoku/>
        <w:overflowPunct/>
        <w:topLinePunct w:val="0"/>
        <w:autoSpaceDE/>
        <w:autoSpaceDN/>
        <w:bidi w:val="0"/>
        <w:spacing w:line="560" w:lineRule="exact"/>
        <w:jc w:val="both"/>
        <w:textAlignment w:val="auto"/>
        <w:rPr>
          <w:rFonts w:hint="default"/>
          <w:lang w:val="en-US" w:eastAsia="zh-CN"/>
        </w:rPr>
      </w:pPr>
    </w:p>
    <w:p>
      <w:pPr>
        <w:keepNext w:val="0"/>
        <w:keepLines w:val="0"/>
        <w:pageBreakBefore w:val="0"/>
        <w:widowControl w:val="0"/>
        <w:tabs>
          <w:tab w:val="left" w:pos="7480"/>
        </w:tabs>
        <w:kinsoku/>
        <w:wordWrap w:val="0"/>
        <w:overflowPunct/>
        <w:topLinePunct w:val="0"/>
        <w:autoSpaceDE/>
        <w:autoSpaceDN/>
        <w:bidi w:val="0"/>
        <w:adjustRightInd/>
        <w:snapToGrid/>
        <w:spacing w:line="560" w:lineRule="exact"/>
        <w:ind w:left="0" w:leftChars="0" w:firstLine="579" w:firstLineChars="181"/>
        <w:jc w:val="both"/>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泗洪县人民政府</w:t>
      </w:r>
      <w:r>
        <w:rPr>
          <w:rFonts w:hint="eastAsia" w:ascii="Times New Roman" w:hAnsi="Times New Roman" w:eastAsia="方正仿宋_GBK" w:cs="Times New Roman"/>
          <w:sz w:val="32"/>
          <w:szCs w:val="32"/>
          <w:lang w:val="en-US" w:eastAsia="zh-CN"/>
        </w:rPr>
        <w:t>办公室</w:t>
      </w: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tabs>
          <w:tab w:val="left" w:pos="7680"/>
        </w:tabs>
        <w:kinsoku/>
        <w:wordWrap/>
        <w:overflowPunct/>
        <w:topLinePunct w:val="0"/>
        <w:autoSpaceDE/>
        <w:autoSpaceDN/>
        <w:bidi w:val="0"/>
        <w:adjustRightInd/>
        <w:snapToGrid/>
        <w:spacing w:line="560" w:lineRule="exact"/>
        <w:ind w:left="0" w:leftChars="0" w:firstLine="5139" w:firstLineChars="1606"/>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日</w:t>
      </w:r>
    </w:p>
    <w:p>
      <w:pPr>
        <w:pStyle w:val="4"/>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方正小标宋_GBK" w:cs="Times New Roman"/>
          <w:sz w:val="44"/>
          <w:szCs w:val="44"/>
        </w:rPr>
      </w:pPr>
      <w:r>
        <w:rPr>
          <w:rFonts w:hint="default" w:ascii="Times New Roman" w:hAnsi="Times New Roman" w:eastAsia="方正仿宋_GBK" w:cs="Times New Roman"/>
          <w:sz w:val="32"/>
          <w:szCs w:val="32"/>
          <w:lang w:eastAsia="zh-CN"/>
        </w:rPr>
        <w:t>（此件公开发布）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880" w:firstLineChars="200"/>
        <w:jc w:val="center"/>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880" w:firstLineChars="200"/>
        <w:jc w:val="center"/>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880" w:firstLineChars="200"/>
        <w:jc w:val="center"/>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val="en-US" w:eastAsia="zh-CN"/>
        </w:rPr>
        <w:sectPr>
          <w:footerReference r:id="rId3" w:type="default"/>
          <w:pgSz w:w="11906" w:h="16838"/>
          <w:pgMar w:top="2041" w:right="1531" w:bottom="2041" w:left="1531" w:header="851" w:footer="1474" w:gutter="0"/>
          <w:pgNumType w:fmt="decimal"/>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县级实行告知承诺制证明事项清单（第三批）</w:t>
      </w:r>
    </w:p>
    <w:tbl>
      <w:tblPr>
        <w:tblStyle w:val="10"/>
        <w:tblpPr w:leftFromText="180" w:rightFromText="180" w:vertAnchor="text" w:horzAnchor="page" w:tblpXSpec="center" w:tblpY="686"/>
        <w:tblOverlap w:val="never"/>
        <w:tblW w:w="83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1"/>
        <w:gridCol w:w="3244"/>
        <w:gridCol w:w="2844"/>
        <w:gridCol w:w="13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blHeader/>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黑体_GBK" w:cs="Times New Roman"/>
                <w:bCs/>
                <w:color w:val="auto"/>
                <w:kern w:val="0"/>
                <w:sz w:val="21"/>
                <w:szCs w:val="21"/>
                <w:lang w:val="en-US" w:eastAsia="zh-CN" w:bidi="ar"/>
              </w:rPr>
            </w:pPr>
            <w:r>
              <w:rPr>
                <w:rFonts w:hint="eastAsia" w:ascii="Times New Roman" w:hAnsi="Times New Roman" w:eastAsia="方正黑体_GBK" w:cs="Times New Roman"/>
                <w:bCs/>
                <w:color w:val="auto"/>
                <w:kern w:val="0"/>
                <w:sz w:val="21"/>
                <w:szCs w:val="21"/>
                <w:lang w:val="en-US" w:eastAsia="zh-CN" w:bidi="ar"/>
              </w:rPr>
              <w:t>序号</w:t>
            </w: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黑体_GBK" w:cs="Times New Roman"/>
                <w:bCs/>
                <w:color w:val="auto"/>
                <w:kern w:val="0"/>
                <w:sz w:val="21"/>
                <w:szCs w:val="21"/>
                <w:lang w:val="en-US" w:eastAsia="zh-CN" w:bidi="ar"/>
              </w:rPr>
            </w:pPr>
            <w:r>
              <w:rPr>
                <w:rFonts w:hint="eastAsia" w:ascii="Times New Roman" w:hAnsi="Times New Roman" w:eastAsia="方正黑体_GBK" w:cs="Times New Roman"/>
                <w:bCs/>
                <w:color w:val="auto"/>
                <w:kern w:val="0"/>
                <w:sz w:val="21"/>
                <w:szCs w:val="21"/>
                <w:lang w:val="en-US" w:eastAsia="zh-CN" w:bidi="ar"/>
              </w:rPr>
              <w:t>证明名称</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黑体_GBK" w:cs="Times New Roman"/>
                <w:bCs/>
                <w:color w:val="auto"/>
                <w:kern w:val="0"/>
                <w:sz w:val="21"/>
                <w:szCs w:val="21"/>
                <w:lang w:val="en-US" w:eastAsia="zh-CN" w:bidi="ar"/>
              </w:rPr>
            </w:pPr>
            <w:r>
              <w:rPr>
                <w:rFonts w:hint="eastAsia" w:ascii="Times New Roman" w:hAnsi="Times New Roman" w:eastAsia="方正黑体_GBK" w:cs="Times New Roman"/>
                <w:bCs/>
                <w:color w:val="auto"/>
                <w:kern w:val="0"/>
                <w:sz w:val="21"/>
                <w:szCs w:val="21"/>
                <w:lang w:val="en-US" w:eastAsia="zh-CN" w:bidi="ar"/>
              </w:rPr>
              <w:t>事项名称</w:t>
            </w:r>
          </w:p>
        </w:tc>
        <w:tc>
          <w:tcPr>
            <w:tcW w:w="1372"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黑体_GBK" w:cs="Times New Roman"/>
                <w:bCs/>
                <w:color w:val="auto"/>
                <w:kern w:val="0"/>
                <w:sz w:val="21"/>
                <w:szCs w:val="21"/>
                <w:lang w:val="en-US" w:eastAsia="zh-CN" w:bidi="ar"/>
              </w:rPr>
            </w:pPr>
            <w:r>
              <w:rPr>
                <w:rFonts w:hint="eastAsia" w:ascii="Times New Roman" w:hAnsi="Times New Roman" w:eastAsia="方正黑体_GBK" w:cs="Times New Roman"/>
                <w:bCs/>
                <w:color w:val="auto"/>
                <w:kern w:val="0"/>
                <w:sz w:val="21"/>
                <w:szCs w:val="21"/>
                <w:lang w:val="en-US" w:eastAsia="zh-CN" w:bidi="ar"/>
              </w:rPr>
              <w:t>县级主管部门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lang w:val="en-US" w:eastAsia="zh-CN"/>
              </w:rPr>
              <w:t>孤儿证明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kern w:val="2"/>
                <w:sz w:val="21"/>
                <w:szCs w:val="21"/>
                <w:highlight w:val="none"/>
                <w:shd w:val="clear" w:color="auto" w:fill="FFFFFF"/>
                <w:lang w:val="en-US" w:eastAsia="zh-CN" w:bidi="ar-SA"/>
              </w:rPr>
            </w:pPr>
            <w:r>
              <w:rPr>
                <w:rFonts w:hint="default" w:ascii="Times New Roman" w:hAnsi="Times New Roman" w:eastAsia="方正仿宋_GBK" w:cs="Times New Roman"/>
                <w:color w:val="auto"/>
                <w:sz w:val="21"/>
                <w:szCs w:val="21"/>
                <w:highlight w:val="none"/>
                <w:shd w:val="clear" w:color="auto" w:fill="FFFFFF"/>
                <w:lang w:val="en-US" w:eastAsia="zh-CN"/>
              </w:rPr>
              <w:t>对家庭经济困难的</w:t>
            </w:r>
            <w:r>
              <w:rPr>
                <w:rFonts w:hint="default" w:ascii="Times New Roman" w:hAnsi="Times New Roman" w:eastAsia="方正仿宋_GBK" w:cs="Times New Roman"/>
                <w:color w:val="auto"/>
                <w:sz w:val="21"/>
                <w:szCs w:val="21"/>
                <w:highlight w:val="none"/>
                <w:shd w:val="clear" w:color="auto" w:fill="FFFFFF"/>
              </w:rPr>
              <w:t>学生资助</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kern w:val="2"/>
                <w:sz w:val="21"/>
                <w:szCs w:val="21"/>
                <w:highlight w:val="none"/>
                <w:shd w:val="clear" w:color="auto" w:fill="FFFFFF"/>
                <w:lang w:val="en-US" w:eastAsia="zh-CN" w:bidi="ar-SA"/>
              </w:rPr>
            </w:pPr>
            <w:r>
              <w:rPr>
                <w:rFonts w:hint="eastAsia" w:ascii="Times New Roman" w:hAnsi="Times New Roman" w:eastAsia="方正仿宋_GBK" w:cs="Times New Roman"/>
                <w:color w:val="auto"/>
                <w:sz w:val="21"/>
                <w:szCs w:val="21"/>
                <w:highlight w:val="none"/>
                <w:shd w:val="clear" w:color="auto" w:fill="FFFFFF"/>
                <w:lang w:val="en-US" w:eastAsia="zh-CN"/>
              </w:rPr>
              <w:t>县</w:t>
            </w:r>
            <w:r>
              <w:rPr>
                <w:rFonts w:hint="default" w:ascii="Times New Roman" w:hAnsi="Times New Roman" w:eastAsia="方正仿宋_GBK" w:cs="Times New Roman"/>
                <w:color w:val="auto"/>
                <w:sz w:val="21"/>
                <w:szCs w:val="21"/>
                <w:highlight w:val="none"/>
                <w:shd w:val="clear" w:color="auto" w:fill="FFFFFF"/>
              </w:rPr>
              <w:t>教育局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lang w:val="en-US" w:eastAsia="zh-CN"/>
              </w:rPr>
              <w:t>上一学段获得国家教育资助证明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lang w:val="en-US" w:eastAsia="zh-CN"/>
              </w:rPr>
              <w:t>该学段就读期间已经学校认定并获得国家教育资助证明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担任公职律师满三年证明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专职律师执业许可</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r>
              <w:rPr>
                <w:rFonts w:hint="eastAsia" w:ascii="Times New Roman" w:hAnsi="Times New Roman" w:eastAsia="方正仿宋_GBK" w:cs="Times New Roman"/>
                <w:color w:val="auto"/>
                <w:sz w:val="21"/>
                <w:szCs w:val="21"/>
                <w:highlight w:val="none"/>
                <w:shd w:val="clear" w:color="auto" w:fill="FFFFFF"/>
                <w:lang w:val="en-US" w:eastAsia="zh-CN"/>
              </w:rPr>
              <w:t>县</w:t>
            </w:r>
            <w:r>
              <w:rPr>
                <w:rFonts w:hint="default" w:ascii="Times New Roman" w:hAnsi="Times New Roman" w:eastAsia="方正仿宋_GBK" w:cs="Times New Roman"/>
                <w:color w:val="auto"/>
                <w:sz w:val="21"/>
                <w:szCs w:val="21"/>
                <w:highlight w:val="none"/>
                <w:shd w:val="clear" w:color="auto" w:fill="FFFFFF"/>
              </w:rPr>
              <w:t>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最后一次公职律师年度考核被评定为称职证明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lang w:val="en-US" w:eastAsia="zh-CN"/>
              </w:rPr>
              <w:t>与</w:t>
            </w:r>
            <w:r>
              <w:rPr>
                <w:rFonts w:hint="default" w:ascii="Times New Roman" w:hAnsi="Times New Roman" w:eastAsia="方正仿宋_GBK" w:cs="Times New Roman"/>
                <w:color w:val="auto"/>
                <w:sz w:val="21"/>
                <w:szCs w:val="21"/>
                <w:highlight w:val="none"/>
                <w:shd w:val="clear" w:color="auto" w:fill="FFFFFF"/>
              </w:rPr>
              <w:t>原</w:t>
            </w:r>
            <w:r>
              <w:rPr>
                <w:rFonts w:hint="default" w:ascii="Times New Roman" w:hAnsi="Times New Roman" w:eastAsia="方正仿宋_GBK" w:cs="Times New Roman"/>
                <w:color w:val="auto"/>
                <w:sz w:val="21"/>
                <w:szCs w:val="21"/>
                <w:highlight w:val="none"/>
                <w:shd w:val="clear" w:color="auto" w:fill="FFFFFF"/>
                <w:lang w:val="en-US" w:eastAsia="zh-CN"/>
              </w:rPr>
              <w:t>执业机构办结业务、档案、财务等交接手续证明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pacing w:val="-6"/>
                <w:sz w:val="21"/>
                <w:szCs w:val="21"/>
                <w:highlight w:val="none"/>
                <w:shd w:val="clear" w:color="auto" w:fill="FFFFFF"/>
              </w:rPr>
              <w:t>专职（兼职）律师变更</w:t>
            </w:r>
            <w:r>
              <w:rPr>
                <w:rFonts w:hint="default" w:ascii="Times New Roman" w:hAnsi="Times New Roman" w:eastAsia="方正仿宋_GBK" w:cs="Times New Roman"/>
                <w:color w:val="auto"/>
                <w:spacing w:val="-6"/>
                <w:sz w:val="21"/>
                <w:szCs w:val="21"/>
                <w:highlight w:val="none"/>
                <w:shd w:val="clear" w:color="auto" w:fill="FFFFFF"/>
                <w:lang w:val="en-US" w:eastAsia="zh-CN"/>
              </w:rPr>
              <w:t>职业机构的</w:t>
            </w:r>
            <w:r>
              <w:rPr>
                <w:rFonts w:hint="default" w:ascii="Times New Roman" w:hAnsi="Times New Roman" w:eastAsia="方正仿宋_GBK" w:cs="Times New Roman"/>
                <w:color w:val="auto"/>
                <w:spacing w:val="-6"/>
                <w:sz w:val="21"/>
                <w:szCs w:val="21"/>
                <w:highlight w:val="none"/>
                <w:shd w:val="clear" w:color="auto" w:fill="FFFFFF"/>
              </w:rPr>
              <w:t>许可</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未</w:t>
            </w:r>
            <w:r>
              <w:rPr>
                <w:rFonts w:hint="default" w:ascii="Times New Roman" w:hAnsi="Times New Roman" w:eastAsia="方正仿宋_GBK" w:cs="Times New Roman"/>
                <w:color w:val="auto"/>
                <w:sz w:val="21"/>
                <w:szCs w:val="21"/>
                <w:highlight w:val="none"/>
                <w:shd w:val="clear" w:color="auto" w:fill="FFFFFF"/>
                <w:lang w:val="en-US" w:eastAsia="zh-CN"/>
              </w:rPr>
              <w:t>在受到</w:t>
            </w:r>
            <w:r>
              <w:rPr>
                <w:rFonts w:hint="default" w:ascii="Times New Roman" w:hAnsi="Times New Roman" w:eastAsia="方正仿宋_GBK" w:cs="Times New Roman"/>
                <w:color w:val="auto"/>
                <w:sz w:val="21"/>
                <w:szCs w:val="21"/>
                <w:highlight w:val="none"/>
                <w:shd w:val="clear" w:color="auto" w:fill="FFFFFF"/>
              </w:rPr>
              <w:t>停止执业处罚</w:t>
            </w:r>
            <w:r>
              <w:rPr>
                <w:rFonts w:hint="default" w:ascii="Times New Roman" w:hAnsi="Times New Roman" w:eastAsia="方正仿宋_GBK" w:cs="Times New Roman"/>
                <w:color w:val="auto"/>
                <w:sz w:val="21"/>
                <w:szCs w:val="21"/>
                <w:highlight w:val="none"/>
                <w:shd w:val="clear" w:color="auto" w:fill="FFFFFF"/>
                <w:lang w:val="en-US" w:eastAsia="zh-CN"/>
              </w:rPr>
              <w:t>期间证明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lang w:val="en-US" w:eastAsia="zh-CN"/>
              </w:rPr>
              <w:t>未在受到</w:t>
            </w:r>
            <w:r>
              <w:rPr>
                <w:rFonts w:hint="default" w:ascii="Times New Roman" w:hAnsi="Times New Roman" w:eastAsia="方正仿宋_GBK" w:cs="Times New Roman"/>
                <w:color w:val="auto"/>
                <w:sz w:val="21"/>
                <w:szCs w:val="21"/>
                <w:highlight w:val="none"/>
                <w:shd w:val="clear" w:color="auto" w:fill="FFFFFF"/>
              </w:rPr>
              <w:t>投诉</w:t>
            </w:r>
            <w:r>
              <w:rPr>
                <w:rFonts w:hint="default" w:ascii="Times New Roman" w:hAnsi="Times New Roman" w:eastAsia="方正仿宋_GBK" w:cs="Times New Roman"/>
                <w:color w:val="auto"/>
                <w:sz w:val="21"/>
                <w:szCs w:val="21"/>
                <w:highlight w:val="none"/>
                <w:shd w:val="clear" w:color="auto" w:fill="FFFFFF"/>
                <w:lang w:val="en-US" w:eastAsia="zh-CN"/>
              </w:rPr>
              <w:t>正在调查</w:t>
            </w:r>
            <w:r>
              <w:rPr>
                <w:rFonts w:hint="default" w:ascii="Times New Roman" w:hAnsi="Times New Roman" w:eastAsia="方正仿宋_GBK" w:cs="Times New Roman"/>
                <w:color w:val="auto"/>
                <w:sz w:val="21"/>
                <w:szCs w:val="21"/>
                <w:highlight w:val="none"/>
                <w:shd w:val="clear" w:color="auto" w:fill="FFFFFF"/>
              </w:rPr>
              <w:t>期间证明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未成年人、老年人、残疾人等特定群体无固定生活来源证明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申请法律援助</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社会救助、司法救助或者优抚对象证明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申请支付劳动报酬的进城务工人员证明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请求工伤事故人身损害赔偿的进城务工人员证明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实行综合计算工时工作制或不定时工作制实施方案公示情况</w:t>
            </w:r>
            <w:r>
              <w:rPr>
                <w:rFonts w:hint="default" w:ascii="Times New Roman" w:hAnsi="Times New Roman" w:eastAsia="方正仿宋_GBK" w:cs="Times New Roman"/>
                <w:color w:val="auto"/>
                <w:sz w:val="21"/>
                <w:szCs w:val="21"/>
                <w:highlight w:val="none"/>
                <w:shd w:val="clear" w:color="auto" w:fill="FFFFFF"/>
                <w:lang w:val="en-US" w:eastAsia="zh-CN"/>
              </w:rPr>
              <w:t>报告</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实行不定时工作制和综合计算工时工作制的审批</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r>
              <w:rPr>
                <w:rFonts w:hint="eastAsia" w:ascii="Times New Roman" w:hAnsi="Times New Roman" w:eastAsia="方正仿宋_GBK" w:cs="Times New Roman"/>
                <w:color w:val="auto"/>
                <w:sz w:val="21"/>
                <w:szCs w:val="21"/>
                <w:highlight w:val="none"/>
                <w:shd w:val="clear" w:color="auto" w:fill="FFFFFF"/>
                <w:lang w:val="en-US" w:eastAsia="zh-CN"/>
              </w:rPr>
              <w:t>县</w:t>
            </w:r>
            <w:r>
              <w:rPr>
                <w:rFonts w:hint="eastAsia" w:ascii="Times New Roman" w:hAnsi="Times New Roman" w:eastAsia="方正仿宋_GBK" w:cs="Times New Roman"/>
                <w:color w:val="auto"/>
                <w:sz w:val="21"/>
                <w:szCs w:val="21"/>
                <w:highlight w:val="none"/>
                <w:shd w:val="clear" w:color="auto" w:fill="FFFFFF"/>
                <w:lang w:eastAsia="zh-CN"/>
              </w:rPr>
              <w:t>人力资源</w:t>
            </w:r>
            <w:r>
              <w:rPr>
                <w:rFonts w:hint="eastAsia" w:ascii="Times New Roman" w:hAnsi="Times New Roman" w:eastAsia="方正仿宋_GBK" w:cs="Times New Roman"/>
                <w:color w:val="auto"/>
                <w:sz w:val="21"/>
                <w:szCs w:val="21"/>
                <w:highlight w:val="none"/>
                <w:shd w:val="clear" w:color="auto" w:fill="FFFFFF"/>
                <w:lang w:val="en-US" w:eastAsia="zh-CN"/>
              </w:rPr>
              <w:t>和</w:t>
            </w:r>
            <w:r>
              <w:rPr>
                <w:rFonts w:hint="eastAsia" w:ascii="Times New Roman" w:hAnsi="Times New Roman" w:eastAsia="方正仿宋_GBK" w:cs="Times New Roman"/>
                <w:color w:val="auto"/>
                <w:sz w:val="21"/>
                <w:szCs w:val="21"/>
                <w:highlight w:val="none"/>
                <w:shd w:val="clear" w:color="auto" w:fill="FFFFFF"/>
                <w:lang w:eastAsia="zh-CN"/>
              </w:rPr>
              <w:t>社会保障局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kern w:val="0"/>
                <w:sz w:val="21"/>
                <w:szCs w:val="21"/>
                <w:highlight w:val="none"/>
                <w:lang w:bidi="ar"/>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kern w:val="0"/>
                <w:sz w:val="21"/>
                <w:szCs w:val="21"/>
                <w:highlight w:val="none"/>
                <w:lang w:bidi="ar"/>
              </w:rPr>
              <w:t>劳务派遣单位书面意见</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孤儿证明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工伤保险待遇支付</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孤寡老人</w:t>
            </w:r>
            <w:r>
              <w:rPr>
                <w:rFonts w:hint="default" w:ascii="Times New Roman" w:hAnsi="Times New Roman" w:eastAsia="方正仿宋_GBK" w:cs="Times New Roman"/>
                <w:color w:val="auto"/>
                <w:sz w:val="21"/>
                <w:szCs w:val="21"/>
                <w:highlight w:val="none"/>
                <w:shd w:val="clear" w:color="auto" w:fill="FFFFFF"/>
                <w:lang w:val="en-US" w:eastAsia="zh-CN"/>
              </w:rPr>
              <w:t>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pStyle w:val="13"/>
              <w:keepNext w:val="0"/>
              <w:keepLines w:val="0"/>
              <w:pageBreakBefore w:val="0"/>
              <w:numPr>
                <w:ilvl w:val="0"/>
                <w:numId w:val="1"/>
              </w:numPr>
              <w:kinsoku/>
              <w:overflowPunct/>
              <w:topLinePunct w:val="0"/>
              <w:autoSpaceDE/>
              <w:autoSpaceDN/>
              <w:bidi w:val="0"/>
              <w:adjustRightInd/>
              <w:snapToGrid/>
              <w:spacing w:after="0" w:line="340" w:lineRule="exact"/>
              <w:ind w:left="0" w:leftChars="0" w:firstLine="0" w:firstLineChars="0"/>
              <w:jc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pStyle w:val="13"/>
              <w:keepNext w:val="0"/>
              <w:keepLines w:val="0"/>
              <w:pageBreakBefore w:val="0"/>
              <w:kinsoku/>
              <w:overflowPunct/>
              <w:topLinePunct w:val="0"/>
              <w:autoSpaceDE/>
              <w:autoSpaceDN/>
              <w:bidi w:val="0"/>
              <w:adjustRightInd/>
              <w:snapToGrid/>
              <w:spacing w:after="0" w:line="340" w:lineRule="exact"/>
              <w:ind w:left="0" w:leftChars="0" w:firstLine="0" w:firstLineChars="0"/>
              <w:jc w:val="both"/>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社会保障卡</w:t>
            </w:r>
            <w:r>
              <w:rPr>
                <w:rFonts w:hint="default" w:ascii="Times New Roman" w:hAnsi="Times New Roman" w:eastAsia="方正仿宋_GBK" w:cs="Times New Roman"/>
                <w:color w:val="auto"/>
                <w:sz w:val="21"/>
                <w:szCs w:val="21"/>
                <w:highlight w:val="none"/>
                <w:shd w:val="clear" w:color="auto" w:fill="FFFFFF"/>
                <w:lang w:val="en-US" w:eastAsia="zh-CN"/>
              </w:rPr>
              <w:t>或有效身份证件</w:t>
            </w:r>
          </w:p>
        </w:tc>
        <w:tc>
          <w:tcPr>
            <w:tcW w:w="2844" w:type="dxa"/>
            <w:tcBorders>
              <w:tl2br w:val="nil"/>
              <w:tr2bl w:val="nil"/>
            </w:tcBorders>
            <w:tcMar>
              <w:top w:w="10" w:type="dxa"/>
              <w:left w:w="10" w:type="dxa"/>
              <w:right w:w="10" w:type="dxa"/>
            </w:tcMar>
            <w:vAlign w:val="center"/>
          </w:tcPr>
          <w:p>
            <w:pPr>
              <w:pStyle w:val="13"/>
              <w:keepNext w:val="0"/>
              <w:keepLines w:val="0"/>
              <w:pageBreakBefore w:val="0"/>
              <w:kinsoku/>
              <w:overflowPunct/>
              <w:topLinePunct w:val="0"/>
              <w:autoSpaceDE/>
              <w:autoSpaceDN/>
              <w:bidi w:val="0"/>
              <w:adjustRightInd/>
              <w:snapToGrid/>
              <w:spacing w:after="0" w:line="340" w:lineRule="exact"/>
              <w:ind w:left="0" w:leftChars="0" w:firstLine="0" w:firstLineChars="0"/>
              <w:jc w:val="both"/>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失业保险金申领</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kern w:val="0"/>
                <w:sz w:val="21"/>
                <w:szCs w:val="21"/>
                <w:highlight w:val="none"/>
                <w:lang w:bidi="ar"/>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kern w:val="0"/>
                <w:sz w:val="21"/>
                <w:szCs w:val="21"/>
                <w:highlight w:val="none"/>
                <w:lang w:bidi="ar"/>
              </w:rPr>
              <w:t>经营场所</w:t>
            </w:r>
            <w:r>
              <w:rPr>
                <w:rFonts w:hint="default" w:ascii="Times New Roman" w:hAnsi="Times New Roman" w:eastAsia="方正仿宋_GBK" w:cs="Times New Roman"/>
                <w:color w:val="auto"/>
                <w:kern w:val="0"/>
                <w:sz w:val="21"/>
                <w:szCs w:val="21"/>
                <w:highlight w:val="none"/>
                <w:lang w:val="en-US" w:eastAsia="zh-CN" w:bidi="ar"/>
              </w:rPr>
              <w:t>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kern w:val="0"/>
                <w:sz w:val="21"/>
                <w:szCs w:val="21"/>
                <w:highlight w:val="none"/>
                <w:lang w:bidi="ar"/>
              </w:rPr>
              <w:t>林草种子（普通）生产经营许可证核发</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r>
              <w:rPr>
                <w:rFonts w:hint="eastAsia" w:ascii="Times New Roman" w:hAnsi="Times New Roman" w:eastAsia="方正仿宋_GBK" w:cs="Times New Roman"/>
                <w:color w:val="auto"/>
                <w:kern w:val="0"/>
                <w:sz w:val="21"/>
                <w:szCs w:val="21"/>
                <w:highlight w:val="none"/>
                <w:lang w:val="en-US" w:eastAsia="zh-CN" w:bidi="ar"/>
              </w:rPr>
              <w:t>县</w:t>
            </w:r>
            <w:r>
              <w:rPr>
                <w:rFonts w:hint="default" w:ascii="Times New Roman" w:hAnsi="Times New Roman" w:eastAsia="方正仿宋_GBK" w:cs="Times New Roman"/>
                <w:color w:val="auto"/>
                <w:kern w:val="0"/>
                <w:sz w:val="21"/>
                <w:szCs w:val="21"/>
                <w:highlight w:val="none"/>
                <w:lang w:bidi="ar"/>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kern w:val="0"/>
                <w:sz w:val="21"/>
                <w:szCs w:val="21"/>
                <w:highlight w:val="none"/>
                <w:lang w:bidi="ar"/>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kern w:val="0"/>
                <w:sz w:val="21"/>
                <w:szCs w:val="21"/>
                <w:highlight w:val="none"/>
                <w:lang w:bidi="ar"/>
              </w:rPr>
              <w:t>生产用地权属证明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kern w:val="0"/>
                <w:sz w:val="21"/>
                <w:szCs w:val="21"/>
                <w:highlight w:val="none"/>
                <w:lang w:bidi="ar"/>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kern w:val="0"/>
                <w:sz w:val="21"/>
                <w:szCs w:val="21"/>
                <w:highlight w:val="none"/>
                <w:lang w:bidi="ar"/>
              </w:rPr>
              <w:t>生产用地的用途证明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kern w:val="0"/>
                <w:sz w:val="21"/>
                <w:szCs w:val="21"/>
                <w:highlight w:val="none"/>
                <w:lang w:bidi="ar"/>
              </w:rPr>
            </w:pPr>
            <w:r>
              <w:rPr>
                <w:rFonts w:hint="default" w:ascii="Times New Roman" w:hAnsi="Times New Roman" w:eastAsia="方正仿宋_GBK" w:cs="Times New Roman"/>
                <w:color w:val="auto"/>
                <w:sz w:val="21"/>
                <w:szCs w:val="21"/>
                <w:highlight w:val="none"/>
                <w:shd w:val="clear" w:color="auto" w:fill="FFFFFF"/>
              </w:rPr>
              <w:t>房屋使用证明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兽药（不含生物制品）经营许可证核发（新办）</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r>
              <w:rPr>
                <w:rFonts w:hint="eastAsia" w:ascii="Times New Roman" w:hAnsi="Times New Roman" w:eastAsia="方正仿宋_GBK" w:cs="Times New Roman"/>
                <w:color w:val="auto"/>
                <w:sz w:val="21"/>
                <w:szCs w:val="21"/>
                <w:highlight w:val="none"/>
                <w:shd w:val="clear" w:color="auto" w:fill="FFFFFF"/>
                <w:lang w:val="en-US" w:eastAsia="zh-CN"/>
              </w:rPr>
              <w:t>县农业农村局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kern w:val="0"/>
                <w:sz w:val="21"/>
                <w:szCs w:val="21"/>
                <w:highlight w:val="none"/>
                <w:lang w:bidi="ar"/>
              </w:rPr>
            </w:pPr>
            <w:r>
              <w:rPr>
                <w:rFonts w:hint="default" w:ascii="Times New Roman" w:hAnsi="Times New Roman" w:eastAsia="方正仿宋_GBK" w:cs="Times New Roman"/>
                <w:color w:val="auto"/>
                <w:sz w:val="21"/>
                <w:szCs w:val="21"/>
                <w:highlight w:val="none"/>
                <w:shd w:val="clear" w:color="auto" w:fill="FFFFFF"/>
              </w:rPr>
              <w:t>菌种检验人员</w:t>
            </w:r>
            <w:r>
              <w:rPr>
                <w:rFonts w:hint="default" w:ascii="Times New Roman" w:hAnsi="Times New Roman" w:eastAsia="方正仿宋_GBK" w:cs="Times New Roman"/>
                <w:color w:val="auto"/>
                <w:sz w:val="21"/>
                <w:szCs w:val="21"/>
                <w:highlight w:val="none"/>
                <w:shd w:val="clear" w:color="auto" w:fill="FFFFFF"/>
                <w:lang w:val="en-US" w:eastAsia="zh-CN"/>
              </w:rPr>
              <w:t>资格证明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食用菌菌种生产经营许可证核发</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kern w:val="0"/>
                <w:sz w:val="21"/>
                <w:szCs w:val="21"/>
                <w:highlight w:val="none"/>
                <w:lang w:bidi="ar"/>
              </w:rPr>
            </w:pPr>
            <w:r>
              <w:rPr>
                <w:rFonts w:hint="default" w:ascii="Times New Roman" w:hAnsi="Times New Roman" w:eastAsia="方正仿宋_GBK" w:cs="Times New Roman"/>
                <w:color w:val="auto"/>
                <w:sz w:val="21"/>
                <w:szCs w:val="21"/>
                <w:highlight w:val="none"/>
                <w:shd w:val="clear" w:color="auto" w:fill="FFFFFF"/>
              </w:rPr>
              <w:t>生产技术人员资格证明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kern w:val="0"/>
                <w:sz w:val="21"/>
                <w:szCs w:val="21"/>
                <w:highlight w:val="none"/>
                <w:lang w:bidi="ar"/>
              </w:rPr>
            </w:pPr>
            <w:r>
              <w:rPr>
                <w:rFonts w:hint="default" w:ascii="Times New Roman" w:hAnsi="Times New Roman" w:eastAsia="方正仿宋_GBK" w:cs="Times New Roman"/>
                <w:color w:val="auto"/>
                <w:sz w:val="21"/>
                <w:szCs w:val="21"/>
                <w:highlight w:val="none"/>
                <w:shd w:val="clear" w:color="auto" w:fill="FFFFFF"/>
              </w:rPr>
              <w:t>仪器设备和设施产权证明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kern w:val="0"/>
                <w:sz w:val="21"/>
                <w:szCs w:val="21"/>
                <w:highlight w:val="none"/>
                <w:lang w:bidi="ar"/>
              </w:rPr>
            </w:pPr>
            <w:r>
              <w:rPr>
                <w:rFonts w:hint="default" w:ascii="Times New Roman" w:hAnsi="Times New Roman" w:eastAsia="方正仿宋_GBK" w:cs="Times New Roman"/>
                <w:color w:val="auto"/>
                <w:sz w:val="21"/>
                <w:szCs w:val="21"/>
                <w:highlight w:val="none"/>
                <w:shd w:val="clear" w:color="auto" w:fill="FFFFFF"/>
              </w:rPr>
              <w:t>菌种生产经营场所产权证明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kern w:val="0"/>
                <w:sz w:val="21"/>
                <w:szCs w:val="21"/>
                <w:highlight w:val="none"/>
                <w:lang w:bidi="ar"/>
              </w:rPr>
            </w:pPr>
            <w:r>
              <w:rPr>
                <w:rFonts w:hint="default" w:ascii="Times New Roman" w:hAnsi="Times New Roman" w:eastAsia="方正仿宋_GBK" w:cs="Times New Roman"/>
                <w:color w:val="auto"/>
                <w:sz w:val="21"/>
                <w:szCs w:val="21"/>
                <w:highlight w:val="none"/>
                <w:shd w:val="clear" w:color="auto" w:fill="FFFFFF"/>
              </w:rPr>
              <w:t>品种权人（品种选育人）授权证明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驾驶员健康证明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生鲜乳准运证明核发</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押运员健康证明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安全技术检验合格证明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拖拉机和联合收割机登记（转移登记）</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安全技术检验合格证明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拖拉机和联合收割机登记（变更）</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安全技术检验合格证明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拖拉机和联合收割机登记（注册）</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渔业船员培训证明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渔业船舶船员证书核发</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lang w:val="en-US" w:eastAsia="zh-CN"/>
              </w:rPr>
              <w:t>船舶所有人</w:t>
            </w:r>
            <w:r>
              <w:rPr>
                <w:rFonts w:hint="default" w:ascii="Times New Roman" w:hAnsi="Times New Roman" w:eastAsia="方正仿宋_GBK" w:cs="Times New Roman"/>
                <w:color w:val="auto"/>
                <w:sz w:val="21"/>
                <w:szCs w:val="21"/>
                <w:highlight w:val="none"/>
                <w:shd w:val="clear" w:color="auto" w:fill="FFFFFF"/>
              </w:rPr>
              <w:t>户籍证明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渔业捕捞许可审批</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捕捞渔船的捕捞许可证注销证明</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渔业船舶登记（注销）</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捕捞辅助船的捕捞许可证注销证明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安全技术检验合格证明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shd w:val="clear" w:color="auto" w:fill="FFFFFF"/>
              </w:rPr>
              <w:t>对拖拉机、联合收割机定期安全技术检验</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numPr>
                <w:ilvl w:val="0"/>
                <w:numId w:val="1"/>
              </w:numPr>
              <w:kinsoku/>
              <w:wordWrap/>
              <w:overflowPunct/>
              <w:topLinePunct w:val="0"/>
              <w:autoSpaceDE/>
              <w:autoSpaceDN/>
              <w:bidi w:val="0"/>
              <w:adjustRightInd/>
              <w:snapToGrid/>
              <w:spacing w:line="340" w:lineRule="exact"/>
              <w:ind w:left="0" w:leftChars="0" w:firstLine="0" w:firstLineChars="0"/>
              <w:jc w:val="center"/>
              <w:rPr>
                <w:rFonts w:hint="default" w:ascii="Times New Roman" w:hAnsi="Times New Roman" w:eastAsia="方正仿宋_GBK" w:cs="Times New Roman"/>
                <w:color w:val="auto"/>
                <w:kern w:val="0"/>
                <w:sz w:val="21"/>
                <w:szCs w:val="21"/>
                <w:highlight w:val="none"/>
              </w:rPr>
            </w:pPr>
          </w:p>
        </w:tc>
        <w:tc>
          <w:tcPr>
            <w:tcW w:w="3244" w:type="dxa"/>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kern w:val="0"/>
                <w:sz w:val="21"/>
                <w:szCs w:val="21"/>
                <w:highlight w:val="none"/>
              </w:rPr>
              <w:t>公众聚集场所投入使用、营业前消防安全检查意见书</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kern w:val="0"/>
                <w:sz w:val="21"/>
                <w:szCs w:val="21"/>
                <w:highlight w:val="none"/>
              </w:rPr>
            </w:pPr>
          </w:p>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kern w:val="0"/>
                <w:sz w:val="21"/>
                <w:szCs w:val="21"/>
                <w:highlight w:val="none"/>
              </w:rPr>
              <w:t>互联网上网服务营业场所经营单位申请从事互联网上网服务经营活动许可</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center"/>
              <w:rPr>
                <w:rFonts w:hint="eastAsia" w:ascii="Times New Roman" w:hAnsi="Times New Roman" w:eastAsia="方正仿宋_GBK" w:cs="Times New Roman"/>
                <w:color w:val="auto"/>
                <w:sz w:val="21"/>
                <w:szCs w:val="21"/>
                <w:highlight w:val="none"/>
                <w:shd w:val="clear" w:color="auto" w:fill="FFFFFF"/>
                <w:lang w:val="en-US" w:eastAsia="zh-CN"/>
              </w:rPr>
            </w:pPr>
            <w:r>
              <w:rPr>
                <w:rFonts w:hint="eastAsia" w:ascii="Times New Roman" w:hAnsi="Times New Roman" w:eastAsia="方正仿宋_GBK" w:cs="Times New Roman"/>
                <w:color w:val="auto"/>
                <w:sz w:val="21"/>
                <w:szCs w:val="21"/>
                <w:highlight w:val="none"/>
                <w:shd w:val="clear" w:color="auto" w:fill="FFFFFF"/>
                <w:lang w:val="en-US" w:eastAsia="zh-CN"/>
              </w:rPr>
              <w:t>县</w:t>
            </w:r>
            <w:r>
              <w:rPr>
                <w:rFonts w:hint="eastAsia" w:ascii="Times New Roman" w:hAnsi="Times New Roman" w:eastAsia="方正仿宋_GBK" w:cs="Times New Roman"/>
                <w:color w:val="auto"/>
                <w:sz w:val="21"/>
                <w:szCs w:val="21"/>
                <w:highlight w:val="none"/>
                <w:shd w:val="clear" w:color="auto" w:fill="FFFFFF"/>
                <w:lang w:eastAsia="zh-CN"/>
              </w:rPr>
              <w:t>文化广电和旅游局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numPr>
                <w:ilvl w:val="0"/>
                <w:numId w:val="1"/>
              </w:numPr>
              <w:kinsoku/>
              <w:wordWrap/>
              <w:overflowPunct/>
              <w:topLinePunct w:val="0"/>
              <w:autoSpaceDE/>
              <w:autoSpaceDN/>
              <w:bidi w:val="0"/>
              <w:adjustRightInd/>
              <w:snapToGrid/>
              <w:spacing w:line="340" w:lineRule="exact"/>
              <w:ind w:left="0" w:leftChars="0" w:firstLine="0" w:firstLineChars="0"/>
              <w:jc w:val="center"/>
              <w:rPr>
                <w:rFonts w:hint="default" w:ascii="Times New Roman" w:hAnsi="Times New Roman" w:eastAsia="方正仿宋_GBK" w:cs="Times New Roman"/>
                <w:color w:val="auto"/>
                <w:kern w:val="0"/>
                <w:sz w:val="21"/>
                <w:szCs w:val="21"/>
                <w:highlight w:val="none"/>
              </w:rPr>
            </w:pPr>
          </w:p>
        </w:tc>
        <w:tc>
          <w:tcPr>
            <w:tcW w:w="3244" w:type="dxa"/>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kern w:val="0"/>
                <w:sz w:val="21"/>
                <w:szCs w:val="21"/>
                <w:highlight w:val="none"/>
              </w:rPr>
              <w:t>互联网上网服务营业场所信息网络安全承诺书</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sz w:val="21"/>
                <w:szCs w:val="21"/>
                <w:highlight w:val="none"/>
                <w:shd w:val="clear" w:color="auto" w:fill="FFFFFF"/>
                <w:lang w:val="en-US" w:eastAsia="zh-CN"/>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center"/>
              <w:rPr>
                <w:rFonts w:hint="default" w:ascii="Times New Roman" w:hAnsi="Times New Roman" w:eastAsia="方正仿宋_GBK" w:cs="Times New Roman"/>
                <w:color w:val="auto"/>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numPr>
                <w:ilvl w:val="0"/>
                <w:numId w:val="1"/>
              </w:numPr>
              <w:kinsoku/>
              <w:wordWrap/>
              <w:overflowPunct/>
              <w:topLinePunct w:val="0"/>
              <w:autoSpaceDE/>
              <w:autoSpaceDN/>
              <w:bidi w:val="0"/>
              <w:adjustRightInd/>
              <w:snapToGrid/>
              <w:spacing w:line="340" w:lineRule="exact"/>
              <w:ind w:left="0" w:leftChars="0" w:firstLine="0" w:firstLineChars="0"/>
              <w:jc w:val="center"/>
              <w:rPr>
                <w:rFonts w:hint="default" w:ascii="Times New Roman" w:hAnsi="Times New Roman" w:eastAsia="方正仿宋_GBK" w:cs="Times New Roman"/>
                <w:color w:val="auto"/>
                <w:kern w:val="0"/>
                <w:sz w:val="21"/>
                <w:szCs w:val="21"/>
                <w:highlight w:val="none"/>
              </w:rPr>
            </w:pPr>
          </w:p>
        </w:tc>
        <w:tc>
          <w:tcPr>
            <w:tcW w:w="3244" w:type="dxa"/>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kern w:val="0"/>
                <w:sz w:val="21"/>
                <w:szCs w:val="21"/>
                <w:highlight w:val="none"/>
                <w:lang w:val="en-US" w:eastAsia="zh-CN"/>
              </w:rPr>
            </w:pPr>
            <w:r>
              <w:rPr>
                <w:rFonts w:hint="default" w:ascii="Times New Roman" w:hAnsi="Times New Roman" w:eastAsia="方正仿宋_GBK" w:cs="Times New Roman"/>
                <w:color w:val="auto"/>
                <w:kern w:val="0"/>
                <w:sz w:val="21"/>
                <w:szCs w:val="21"/>
                <w:highlight w:val="none"/>
              </w:rPr>
              <w:t>公众聚集场所投入使用、营业前消防安全检查意见书</w:t>
            </w:r>
          </w:p>
        </w:tc>
        <w:tc>
          <w:tcPr>
            <w:tcW w:w="2844" w:type="dxa"/>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kern w:val="0"/>
                <w:sz w:val="21"/>
                <w:szCs w:val="21"/>
                <w:highlight w:val="none"/>
                <w:lang w:val="en-US" w:eastAsia="zh-CN"/>
              </w:rPr>
            </w:pPr>
            <w:r>
              <w:rPr>
                <w:rFonts w:hint="default" w:ascii="Times New Roman" w:hAnsi="Times New Roman" w:eastAsia="方正仿宋_GBK" w:cs="Times New Roman"/>
                <w:color w:val="auto"/>
                <w:kern w:val="0"/>
                <w:sz w:val="21"/>
                <w:szCs w:val="21"/>
                <w:highlight w:val="none"/>
              </w:rPr>
              <w:t>娱乐场所申请从事娱乐场所经营活动的许可</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center"/>
              <w:rPr>
                <w:rFonts w:hint="eastAsia" w:ascii="Times New Roman" w:hAnsi="Times New Roman" w:eastAsia="方正仿宋_GBK" w:cs="Times New Roman"/>
                <w:color w:val="auto"/>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r>
              <w:rPr>
                <w:rFonts w:hint="default" w:ascii="Times New Roman" w:hAnsi="Times New Roman" w:eastAsia="方正仿宋_GBK" w:cs="Times New Roman"/>
                <w:color w:val="auto"/>
                <w:sz w:val="21"/>
                <w:szCs w:val="21"/>
                <w:highlight w:val="none"/>
              </w:rPr>
              <w:t>医疗、预防、保健机构的聘用证明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rPr>
              <w:t>医师执业注册</w:t>
            </w:r>
            <w:r>
              <w:rPr>
                <w:rFonts w:hint="default" w:ascii="Times New Roman" w:hAnsi="Times New Roman" w:eastAsia="方正仿宋_GBK" w:cs="Times New Roman"/>
                <w:color w:val="auto"/>
                <w:sz w:val="21"/>
                <w:szCs w:val="21"/>
                <w:highlight w:val="none"/>
                <w:lang w:eastAsia="zh-CN"/>
              </w:rPr>
              <w:t>（</w:t>
            </w:r>
            <w:r>
              <w:rPr>
                <w:rFonts w:hint="default" w:ascii="Times New Roman" w:hAnsi="Times New Roman" w:eastAsia="方正仿宋_GBK" w:cs="Times New Roman"/>
                <w:color w:val="auto"/>
                <w:sz w:val="21"/>
                <w:szCs w:val="21"/>
                <w:highlight w:val="none"/>
                <w:lang w:val="en-US" w:eastAsia="zh-CN"/>
              </w:rPr>
              <w:t>首次、重新注册）</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eastAsia" w:ascii="Times New Roman" w:hAnsi="Times New Roman" w:eastAsia="方正仿宋_GBK" w:cs="Times New Roman"/>
                <w:color w:val="auto"/>
                <w:sz w:val="21"/>
                <w:szCs w:val="21"/>
                <w:highlight w:val="none"/>
                <w:shd w:val="clear" w:color="auto" w:fill="FFFFFF"/>
                <w:lang w:eastAsia="zh-CN"/>
              </w:rPr>
            </w:pPr>
            <w:r>
              <w:rPr>
                <w:rFonts w:hint="eastAsia" w:ascii="Times New Roman" w:hAnsi="Times New Roman" w:eastAsia="方正仿宋_GBK" w:cs="Times New Roman"/>
                <w:color w:val="auto"/>
                <w:sz w:val="21"/>
                <w:szCs w:val="21"/>
                <w:highlight w:val="none"/>
                <w:lang w:val="en-US" w:eastAsia="zh-CN"/>
              </w:rPr>
              <w:t>县</w:t>
            </w:r>
            <w:r>
              <w:rPr>
                <w:rFonts w:hint="eastAsia" w:ascii="Times New Roman" w:hAnsi="Times New Roman" w:eastAsia="方正仿宋_GBK" w:cs="Times New Roman"/>
                <w:color w:val="auto"/>
                <w:sz w:val="21"/>
                <w:szCs w:val="21"/>
                <w:highlight w:val="none"/>
                <w:lang w:eastAsia="zh-CN"/>
              </w:rPr>
              <w:t>卫生健康</w:t>
            </w:r>
            <w:r>
              <w:rPr>
                <w:rFonts w:hint="eastAsia" w:ascii="Times New Roman" w:hAnsi="Times New Roman" w:eastAsia="方正仿宋_GBK" w:cs="Times New Roman"/>
                <w:color w:val="auto"/>
                <w:sz w:val="21"/>
                <w:szCs w:val="21"/>
                <w:highlight w:val="none"/>
                <w:lang w:val="en-US" w:eastAsia="zh-CN"/>
              </w:rPr>
              <w:t>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rPr>
              <w:t>医疗、预防、保健机构的聘用证明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rPr>
              <w:t>医师执业变更注册</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eastAsia" w:ascii="Times New Roman" w:hAnsi="Times New Roman" w:eastAsia="方正仿宋_GBK" w:cs="Times New Roman"/>
                <w:color w:val="auto"/>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numPr>
                <w:ilvl w:val="0"/>
                <w:numId w:val="1"/>
              </w:numPr>
              <w:kinsoku/>
              <w:wordWrap/>
              <w:overflowPunct/>
              <w:topLinePunct w:val="0"/>
              <w:autoSpaceDE/>
              <w:autoSpaceDN/>
              <w:bidi w:val="0"/>
              <w:adjustRightInd/>
              <w:snapToGrid/>
              <w:spacing w:line="340" w:lineRule="exact"/>
              <w:ind w:left="0" w:leftChars="0" w:firstLine="0" w:firstLineChars="0"/>
              <w:jc w:val="center"/>
              <w:rPr>
                <w:rFonts w:hint="default" w:ascii="Times New Roman" w:hAnsi="Times New Roman" w:eastAsia="方正仿宋_GBK" w:cs="Times New Roman"/>
                <w:b w:val="0"/>
                <w:bCs/>
                <w:color w:val="000000" w:themeColor="text1"/>
                <w:kern w:val="0"/>
                <w:sz w:val="21"/>
                <w:szCs w:val="21"/>
                <w:highlight w:val="none"/>
                <w:lang w:val="en-US" w:eastAsia="zh-CN"/>
                <w14:textFill>
                  <w14:solidFill>
                    <w14:schemeClr w14:val="tx1"/>
                  </w14:solidFill>
                </w14:textFill>
              </w:rPr>
            </w:pPr>
          </w:p>
        </w:tc>
        <w:tc>
          <w:tcPr>
            <w:tcW w:w="3244" w:type="dxa"/>
            <w:tcBorders>
              <w:tl2br w:val="nil"/>
              <w:tr2bl w:val="nil"/>
            </w:tcBorders>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40" w:lineRule="exact"/>
              <w:ind w:left="0" w:leftChars="0"/>
              <w:jc w:val="both"/>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b w:val="0"/>
                <w:bCs/>
                <w:color w:val="000000" w:themeColor="text1"/>
                <w:kern w:val="0"/>
                <w:sz w:val="21"/>
                <w:szCs w:val="21"/>
                <w:highlight w:val="none"/>
                <w:lang w:val="en-US" w:eastAsia="zh-CN"/>
                <w14:textFill>
                  <w14:solidFill>
                    <w14:schemeClr w14:val="tx1"/>
                  </w14:solidFill>
                </w14:textFill>
              </w:rPr>
              <w:t>法定代表人或者负责人身份证明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kern w:val="0"/>
                <w:sz w:val="21"/>
                <w:szCs w:val="21"/>
                <w:highlight w:val="none"/>
              </w:rPr>
              <w:t>公共场所卫生许可（新证）</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eastAsia" w:ascii="Times New Roman" w:hAnsi="Times New Roman" w:eastAsia="方正仿宋_GBK" w:cs="Times New Roman"/>
                <w:color w:val="auto"/>
                <w:sz w:val="21"/>
                <w:szCs w:val="21"/>
                <w:highlight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经营场所产权证明或者租赁证明（已关联电子证照</w:t>
            </w:r>
            <w:r>
              <w:rPr>
                <w:rFonts w:hint="default" w:ascii="Times New Roman" w:hAnsi="Times New Roman" w:eastAsia="方正仿宋_GBK" w:cs="Times New Roman"/>
                <w:color w:val="auto"/>
                <w:sz w:val="21"/>
                <w:szCs w:val="21"/>
                <w:highlight w:val="none"/>
                <w:shd w:val="clear" w:color="auto" w:fill="FFFFFF"/>
                <w:lang w:val="en-US" w:eastAsia="zh-CN"/>
              </w:rPr>
              <w:t>的情形</w:t>
            </w:r>
            <w:r>
              <w:rPr>
                <w:rFonts w:hint="default" w:ascii="Times New Roman" w:hAnsi="Times New Roman" w:eastAsia="方正仿宋_GBK" w:cs="Times New Roman"/>
                <w:color w:val="auto"/>
                <w:sz w:val="21"/>
                <w:szCs w:val="21"/>
                <w:highlight w:val="none"/>
                <w:shd w:val="clear" w:color="auto" w:fill="FFFFFF"/>
              </w:rPr>
              <w:t>）</w:t>
            </w:r>
          </w:p>
        </w:tc>
        <w:tc>
          <w:tcPr>
            <w:tcW w:w="2844"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危险化学品经营许可（首次、延期、重新申请）</w:t>
            </w:r>
          </w:p>
        </w:tc>
        <w:tc>
          <w:tcPr>
            <w:tcW w:w="1372" w:type="dxa"/>
            <w:vMerge w:val="restart"/>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r>
              <w:rPr>
                <w:rFonts w:hint="eastAsia" w:ascii="Times New Roman" w:hAnsi="Times New Roman" w:eastAsia="方正仿宋_GBK" w:cs="Times New Roman"/>
                <w:color w:val="auto"/>
                <w:spacing w:val="-11"/>
                <w:sz w:val="21"/>
                <w:szCs w:val="21"/>
                <w:highlight w:val="none"/>
                <w:shd w:val="clear" w:color="auto" w:fill="FFFFFF"/>
                <w:lang w:val="en-US" w:eastAsia="zh-CN"/>
              </w:rPr>
              <w:t>县应急管理局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eastAsia="zh-CN"/>
              </w:rPr>
            </w:pPr>
            <w:r>
              <w:rPr>
                <w:rFonts w:hint="default" w:ascii="Times New Roman" w:hAnsi="Times New Roman" w:eastAsia="方正仿宋_GBK" w:cs="Times New Roman"/>
                <w:color w:val="auto"/>
                <w:sz w:val="21"/>
                <w:szCs w:val="21"/>
                <w:highlight w:val="none"/>
                <w:shd w:val="clear" w:color="auto" w:fill="FFFFFF"/>
              </w:rPr>
              <w:t>储存设施产权证明或者租赁</w:t>
            </w:r>
            <w:r>
              <w:rPr>
                <w:rFonts w:hint="default" w:ascii="Times New Roman" w:hAnsi="Times New Roman" w:eastAsia="方正仿宋_GBK" w:cs="Times New Roman"/>
                <w:color w:val="auto"/>
                <w:sz w:val="21"/>
                <w:szCs w:val="21"/>
                <w:highlight w:val="none"/>
                <w:shd w:val="clear" w:color="auto" w:fill="FFFFFF"/>
                <w:lang w:val="en-US" w:eastAsia="zh-CN"/>
              </w:rPr>
              <w:t>证明</w:t>
            </w:r>
          </w:p>
        </w:tc>
        <w:tc>
          <w:tcPr>
            <w:tcW w:w="2844"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rPr>
            </w:pP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jc w:val="center"/>
        </w:trPr>
        <w:tc>
          <w:tcPr>
            <w:tcW w:w="921" w:type="dxa"/>
            <w:tcBorders>
              <w:tl2br w:val="nil"/>
              <w:tr2bl w:val="nil"/>
            </w:tcBorders>
            <w:tcMar>
              <w:top w:w="10" w:type="dxa"/>
              <w:left w:w="10" w:type="dxa"/>
              <w:right w:w="10"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40" w:lineRule="exact"/>
              <w:ind w:left="0" w:leftChars="0" w:firstLine="0" w:firstLineChars="0"/>
              <w:jc w:val="center"/>
              <w:textAlignment w:val="center"/>
              <w:rPr>
                <w:rFonts w:hint="default" w:ascii="Times New Roman" w:hAnsi="Times New Roman" w:eastAsia="方正仿宋_GBK" w:cs="Times New Roman"/>
                <w:color w:val="auto"/>
                <w:sz w:val="21"/>
                <w:szCs w:val="21"/>
                <w:highlight w:val="none"/>
                <w:shd w:val="clear" w:color="auto" w:fill="FFFFFF"/>
              </w:rPr>
            </w:pPr>
          </w:p>
        </w:tc>
        <w:tc>
          <w:tcPr>
            <w:tcW w:w="3244" w:type="dxa"/>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变更注册地址的证明</w:t>
            </w:r>
          </w:p>
        </w:tc>
        <w:tc>
          <w:tcPr>
            <w:tcW w:w="2844" w:type="dxa"/>
            <w:tcBorders>
              <w:tl2br w:val="nil"/>
              <w:tr2bl w:val="nil"/>
            </w:tcBorders>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jc w:val="both"/>
              <w:textAlignment w:val="center"/>
              <w:rPr>
                <w:rFonts w:hint="default" w:ascii="Times New Roman" w:hAnsi="Times New Roman" w:eastAsia="方正仿宋_GBK" w:cs="Times New Roman"/>
                <w:color w:val="auto"/>
                <w:sz w:val="21"/>
                <w:szCs w:val="21"/>
                <w:highlight w:val="none"/>
                <w:shd w:val="clear" w:color="auto" w:fill="FFFFFF"/>
                <w:lang w:val="en-US" w:eastAsia="zh-CN"/>
              </w:rPr>
            </w:pPr>
            <w:r>
              <w:rPr>
                <w:rFonts w:hint="default" w:ascii="Times New Roman" w:hAnsi="Times New Roman" w:eastAsia="方正仿宋_GBK" w:cs="Times New Roman"/>
                <w:color w:val="auto"/>
                <w:sz w:val="21"/>
                <w:szCs w:val="21"/>
                <w:highlight w:val="none"/>
                <w:shd w:val="clear" w:color="auto" w:fill="FFFFFF"/>
              </w:rPr>
              <w:t>危险化学品经营许可（变更企业名称、主要负责人、注册地址或者危险化学品储存设施及其监控措施）</w:t>
            </w:r>
          </w:p>
        </w:tc>
        <w:tc>
          <w:tcPr>
            <w:tcW w:w="1372" w:type="dxa"/>
            <w:vMerge w:val="continue"/>
            <w:tcBorders>
              <w:tl2br w:val="nil"/>
              <w:tr2bl w:val="nil"/>
            </w:tcBorders>
            <w:tcMar>
              <w:top w:w="10" w:type="dxa"/>
              <w:left w:w="10" w:type="dxa"/>
              <w:right w:w="10" w:type="dxa"/>
            </w:tcMar>
            <w:vAlign w:val="center"/>
          </w:tcPr>
          <w:p>
            <w:pPr>
              <w:keepNext w:val="0"/>
              <w:keepLines w:val="0"/>
              <w:pageBreakBefore w:val="0"/>
              <w:widowControl/>
              <w:kinsoku/>
              <w:wordWrap w:val="0"/>
              <w:overflowPunct/>
              <w:topLinePunct w:val="0"/>
              <w:autoSpaceDE/>
              <w:autoSpaceDN/>
              <w:bidi w:val="0"/>
              <w:adjustRightInd/>
              <w:snapToGrid/>
              <w:spacing w:line="340" w:lineRule="exact"/>
              <w:ind w:left="0" w:leftChars="0"/>
              <w:jc w:val="center"/>
              <w:textAlignment w:val="center"/>
              <w:rPr>
                <w:rFonts w:hint="default" w:ascii="Times New Roman" w:hAnsi="Times New Roman" w:eastAsia="方正仿宋_GBK" w:cs="Times New Roman"/>
                <w:color w:val="auto"/>
                <w:spacing w:val="-11"/>
                <w:sz w:val="21"/>
                <w:szCs w:val="21"/>
                <w:highlight w:val="none"/>
                <w:shd w:val="clear" w:color="auto" w:fill="FFFFFF"/>
                <w:lang w:val="en-US" w:eastAsia="zh-CN"/>
              </w:rPr>
            </w:pPr>
          </w:p>
        </w:tc>
      </w:tr>
    </w:tbl>
    <w:p>
      <w:pPr>
        <w:rPr>
          <w:rFonts w:hint="default"/>
          <w:lang w:val="en-US" w:eastAsia="zh-CN"/>
        </w:rPr>
      </w:pPr>
    </w:p>
    <w:p>
      <w:pPr>
        <w:bidi w:val="0"/>
        <w:rPr>
          <w:rFonts w:hint="default"/>
          <w:lang w:val="en-US" w:eastAsia="zh-CN"/>
        </w:rPr>
      </w:pPr>
    </w:p>
    <w:p>
      <w:pPr>
        <w:pStyle w:val="2"/>
        <w:rPr>
          <w:rFonts w:hint="default"/>
          <w:lang w:val="en-US" w:eastAsia="zh-CN"/>
        </w:rPr>
      </w:pPr>
    </w:p>
    <w:p>
      <w:pPr>
        <w:pBdr>
          <w:top w:val="single" w:color="auto" w:sz="6" w:space="0"/>
          <w:bottom w:val="single" w:color="auto" w:sz="6" w:space="1"/>
        </w:pBdr>
        <w:spacing w:line="500" w:lineRule="exact"/>
        <w:ind w:firstLine="140" w:firstLineChars="50"/>
        <w:rPr>
          <w:rFonts w:hint="eastAsia" w:ascii="Times New Roman" w:hAnsi="Times New Roman" w:cs="Times New Roman" w:eastAsiaTheme="minorEastAsia"/>
          <w:lang w:val="en-US" w:eastAsia="zh-CN"/>
        </w:rPr>
      </w:pPr>
      <w:r>
        <w:rPr>
          <w:rFonts w:eastAsia="方正仿宋_GBK"/>
          <w:sz w:val="28"/>
          <w:szCs w:val="28"/>
        </w:rPr>
        <w:t xml:space="preserve">泗洪县人民政府办公室     </w:t>
      </w:r>
      <w:r>
        <w:rPr>
          <w:rFonts w:hint="eastAsia" w:eastAsia="方正仿宋_GBK"/>
          <w:sz w:val="28"/>
          <w:szCs w:val="28"/>
        </w:rPr>
        <w:t xml:space="preserve"> </w:t>
      </w:r>
      <w:r>
        <w:rPr>
          <w:rFonts w:eastAsia="方正仿宋_GBK"/>
          <w:sz w:val="28"/>
          <w:szCs w:val="28"/>
        </w:rPr>
        <w:t xml:space="preserve">    </w:t>
      </w:r>
      <w:r>
        <w:rPr>
          <w:rFonts w:hint="eastAsia" w:eastAsia="方正仿宋_GBK"/>
          <w:sz w:val="28"/>
          <w:szCs w:val="28"/>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ascii="Times New Roman" w:hAnsi="Times New Roman" w:eastAsia="方正仿宋_GBK"/>
          <w:sz w:val="28"/>
          <w:szCs w:val="28"/>
        </w:rPr>
        <w:t xml:space="preserve">  202</w:t>
      </w:r>
      <w:r>
        <w:rPr>
          <w:rFonts w:hint="eastAsia" w:ascii="Times New Roman" w:hAnsi="Times New Roman" w:eastAsia="方正仿宋_GBK"/>
          <w:sz w:val="28"/>
          <w:szCs w:val="28"/>
          <w:lang w:val="en-US" w:eastAsia="zh-CN"/>
        </w:rPr>
        <w:t>4</w:t>
      </w:r>
      <w:r>
        <w:rPr>
          <w:rFonts w:ascii="Times New Roman" w:hAnsi="Times New Roman" w:eastAsia="方正仿宋_GBK"/>
          <w:sz w:val="28"/>
          <w:szCs w:val="28"/>
        </w:rPr>
        <w:t>年</w:t>
      </w:r>
      <w:r>
        <w:rPr>
          <w:rFonts w:hint="eastAsia" w:ascii="Times New Roman" w:hAnsi="Times New Roman"/>
          <w:sz w:val="28"/>
          <w:szCs w:val="28"/>
          <w:lang w:val="en-US" w:eastAsia="zh-CN"/>
        </w:rPr>
        <w:t>3</w:t>
      </w:r>
      <w:r>
        <w:rPr>
          <w:rFonts w:ascii="Times New Roman" w:hAnsi="Times New Roman" w:eastAsia="方正仿宋_GBK"/>
          <w:sz w:val="28"/>
          <w:szCs w:val="28"/>
        </w:rPr>
        <w:t>月</w:t>
      </w:r>
      <w:r>
        <w:rPr>
          <w:rFonts w:hint="eastAsia" w:ascii="Times New Roman" w:hAnsi="Times New Roman"/>
          <w:sz w:val="28"/>
          <w:szCs w:val="28"/>
          <w:lang w:val="en-US" w:eastAsia="zh-CN"/>
        </w:rPr>
        <w:t>13</w:t>
      </w:r>
      <w:r>
        <w:rPr>
          <w:rFonts w:ascii="Times New Roman" w:hAnsi="Times New Roman" w:eastAsia="方正仿宋_GBK"/>
          <w:sz w:val="28"/>
          <w:szCs w:val="28"/>
        </w:rPr>
        <w:t>日</w:t>
      </w:r>
      <w:r>
        <w:rPr>
          <w:rFonts w:eastAsia="方正仿宋_GBK"/>
          <w:sz w:val="28"/>
          <w:szCs w:val="28"/>
        </w:rPr>
        <w:t>印发</w:t>
      </w:r>
    </w:p>
    <w:sectPr>
      <w:footerReference r:id="rId4" w:type="default"/>
      <w:pgSz w:w="11906" w:h="16838"/>
      <w:pgMar w:top="1440" w:right="1803" w:bottom="1440" w:left="180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7582"/>
        <w:tab w:val="clear" w:pos="4153"/>
      </w:tabs>
      <w:rPr>
        <w:rFonts w:hint="eastAsia" w:eastAsiaTheme="minor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-142875</wp:posOffset>
              </wp:positionV>
              <wp:extent cx="1132840" cy="29591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132840" cy="2959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pageBreakBefore w:val="0"/>
                            <w:widowControl/>
                            <w:kinsoku/>
                            <w:wordWrap/>
                            <w:overflowPunct/>
                            <w:topLinePunct w:val="0"/>
                            <w:bidi w:val="0"/>
                            <w:adjustRightInd/>
                            <w:snapToGrid w:val="0"/>
                            <w:ind w:left="315" w:leftChars="150" w:right="315" w:rightChars="150"/>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1.25pt;height:23.3pt;width:89.2pt;mso-position-horizontal:outside;mso-position-horizontal-relative:margin;z-index:251659264;mso-width-relative:page;mso-height-relative:page;" filled="f" stroked="f" coordsize="21600,21600" o:gfxdata="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H7kj9YAAAAHAQAA&#10;DwAAAAAAAAABACAAAAAiAAAAZHJzL2Rvd25yZXYueG1sUEsBAhQAFAAAAAgAh07iQEICy3EbAgAA&#10;FgQAAA4AAAAAAAAAAQAgAAAAJQEAAGRycy9lMm9Eb2MueG1sUEsFBgAAAAAGAAYAWQEAALIFAAAA&#10;AA==&#10;">
              <v:fill on="f" focussize="0,0"/>
              <v:stroke on="f" weight="0.5pt"/>
              <v:imagedata o:title=""/>
              <o:lock v:ext="edit" aspectratio="f"/>
              <v:textbox inset="0mm,0mm,0mm,0mm">
                <w:txbxContent>
                  <w:p>
                    <w:pPr>
                      <w:pStyle w:val="6"/>
                      <w:keepNext w:val="0"/>
                      <w:keepLines w:val="0"/>
                      <w:pageBreakBefore w:val="0"/>
                      <w:widowControl/>
                      <w:kinsoku/>
                      <w:wordWrap/>
                      <w:overflowPunct/>
                      <w:topLinePunct w:val="0"/>
                      <w:bidi w:val="0"/>
                      <w:adjustRightInd/>
                      <w:snapToGrid w:val="0"/>
                      <w:ind w:left="315" w:leftChars="150" w:right="315" w:rightChars="150"/>
                      <w:textAlignment w:val="auto"/>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-142875</wp:posOffset>
              </wp:positionV>
              <wp:extent cx="1152525"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1525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pageBreakBefore w:val="0"/>
                            <w:widowControl/>
                            <w:kinsoku/>
                            <w:wordWrap/>
                            <w:overflowPunct/>
                            <w:topLinePunct w:val="0"/>
                            <w:bidi w:val="0"/>
                            <w:adjustRightInd/>
                            <w:snapToGrid w:val="0"/>
                            <w:ind w:left="315" w:leftChars="150" w:right="315" w:rightChars="15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1.25pt;height:144pt;width:90.75pt;mso-position-horizontal:outside;mso-position-horizontal-relative:margin;z-index:251660288;mso-width-relative:page;mso-height-relative:page;" filled="f" stroked="f" coordsize="21600,21600" o:gfxdata="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x4NRg1wAAAAgB&#10;AAAPAAAAAAAAAAEAIAAAACIAAABkcnMvZG93bnJldi54bWxQSwECFAAUAAAACACHTuJA+TVP8xwC&#10;AAAXBAAADgAAAAAAAAABACAAAAAmAQAAZHJzL2Uyb0RvYy54bWxQSwUGAAAAAAYABgBZAQAAtAUA&#10;AAAA&#10;">
              <v:fill on="f" focussize="0,0"/>
              <v:stroke on="f" weight="0.5pt"/>
              <v:imagedata o:title=""/>
              <o:lock v:ext="edit" aspectratio="f"/>
              <v:textbox inset="0mm,0mm,0mm,0mm" style="mso-fit-shape-to-text:t;">
                <w:txbxContent>
                  <w:p>
                    <w:pPr>
                      <w:pStyle w:val="6"/>
                      <w:keepNext w:val="0"/>
                      <w:keepLines w:val="0"/>
                      <w:pageBreakBefore w:val="0"/>
                      <w:widowControl/>
                      <w:kinsoku/>
                      <w:wordWrap/>
                      <w:overflowPunct/>
                      <w:topLinePunct w:val="0"/>
                      <w:bidi w:val="0"/>
                      <w:adjustRightInd/>
                      <w:snapToGrid w:val="0"/>
                      <w:ind w:left="315" w:leftChars="150" w:right="315" w:rightChars="15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015480"/>
    <w:multiLevelType w:val="singleLevel"/>
    <w:tmpl w:val="FF015480"/>
    <w:lvl w:ilvl="0" w:tentative="0">
      <w:start w:val="1"/>
      <w:numFmt w:val="decimal"/>
      <w:suff w:val="nothing"/>
      <w:lvlText w:val="%1"/>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OWNjNTlmZWQ1ZmIyMGI2NWQzZWYwZjU3YzVhYmMifQ=="/>
  </w:docVars>
  <w:rsids>
    <w:rsidRoot w:val="00000000"/>
    <w:rsid w:val="02E96621"/>
    <w:rsid w:val="088766C0"/>
    <w:rsid w:val="0A0E2D27"/>
    <w:rsid w:val="0E35096D"/>
    <w:rsid w:val="149A3C1F"/>
    <w:rsid w:val="15123784"/>
    <w:rsid w:val="1C8F537D"/>
    <w:rsid w:val="1FBA6F24"/>
    <w:rsid w:val="287C310D"/>
    <w:rsid w:val="2E255A7A"/>
    <w:rsid w:val="30DA11D4"/>
    <w:rsid w:val="31442AF1"/>
    <w:rsid w:val="359B54F7"/>
    <w:rsid w:val="367E5C89"/>
    <w:rsid w:val="386D1B9B"/>
    <w:rsid w:val="3B8E4CC3"/>
    <w:rsid w:val="3C2D1F3B"/>
    <w:rsid w:val="3D0D46DF"/>
    <w:rsid w:val="3EBC2F72"/>
    <w:rsid w:val="41377F7D"/>
    <w:rsid w:val="43AA2C88"/>
    <w:rsid w:val="472E597E"/>
    <w:rsid w:val="4D1B56EB"/>
    <w:rsid w:val="4FF77255"/>
    <w:rsid w:val="513058C8"/>
    <w:rsid w:val="534D3630"/>
    <w:rsid w:val="560B1CAC"/>
    <w:rsid w:val="58FA1B64"/>
    <w:rsid w:val="59005AD3"/>
    <w:rsid w:val="5A9A6CC9"/>
    <w:rsid w:val="5C563555"/>
    <w:rsid w:val="5D1B2689"/>
    <w:rsid w:val="5EA467FA"/>
    <w:rsid w:val="5FA308B9"/>
    <w:rsid w:val="60675D31"/>
    <w:rsid w:val="63414C56"/>
    <w:rsid w:val="69495446"/>
    <w:rsid w:val="6A1A3E14"/>
    <w:rsid w:val="6CBD0550"/>
    <w:rsid w:val="750A1CB5"/>
    <w:rsid w:val="77606EDE"/>
    <w:rsid w:val="79427FF6"/>
    <w:rsid w:val="7BA731C9"/>
    <w:rsid w:val="7BDD2EF3"/>
    <w:rsid w:val="7E553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10"/>
    <w:pPr>
      <w:ind w:left="640" w:leftChars="200"/>
      <w:outlineLvl w:val="0"/>
    </w:pPr>
    <w:rPr>
      <w:rFonts w:ascii="Arial" w:hAnsi="Arial" w:eastAsia="仿宋_GB2312"/>
      <w:b/>
      <w:sz w:val="32"/>
    </w:rPr>
  </w:style>
  <w:style w:type="paragraph" w:styleId="3">
    <w:name w:val="Body Text Indent"/>
    <w:basedOn w:val="1"/>
    <w:next w:val="1"/>
    <w:qFormat/>
    <w:uiPriority w:val="0"/>
    <w:pPr>
      <w:widowControl w:val="0"/>
      <w:ind w:firstLine="171" w:firstLineChars="171"/>
      <w:jc w:val="both"/>
    </w:pPr>
    <w:rPr>
      <w:kern w:val="2"/>
      <w:sz w:val="21"/>
      <w:szCs w:val="24"/>
      <w:lang w:val="en-US" w:eastAsia="zh-CN" w:bidi="ar-SA"/>
    </w:rPr>
  </w:style>
  <w:style w:type="paragraph" w:styleId="4">
    <w:name w:val="Body Text"/>
    <w:basedOn w:val="1"/>
    <w:next w:val="1"/>
    <w:qFormat/>
    <w:uiPriority w:val="0"/>
    <w:pPr>
      <w:adjustRightInd w:val="0"/>
      <w:snapToGrid w:val="0"/>
      <w:spacing w:after="120"/>
    </w:pPr>
    <w:rPr>
      <w:rFonts w:eastAsia="仿宋"/>
      <w:sz w:val="28"/>
    </w:rPr>
  </w:style>
  <w:style w:type="paragraph" w:styleId="5">
    <w:name w:val="toc 3"/>
    <w:basedOn w:val="1"/>
    <w:next w:val="1"/>
    <w:qFormat/>
    <w:uiPriority w:val="0"/>
    <w:pPr>
      <w:ind w:left="420"/>
    </w:pPr>
    <w:rPr>
      <w:rFonts w:ascii="等线" w:hAnsi="等线" w:eastAsia="等线"/>
      <w:b/>
      <w:sz w:val="30"/>
      <w:szCs w:val="3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index 9"/>
    <w:basedOn w:val="1"/>
    <w:next w:val="1"/>
    <w:qFormat/>
    <w:uiPriority w:val="0"/>
    <w:pPr>
      <w:ind w:left="3360"/>
    </w:pPr>
  </w:style>
  <w:style w:type="paragraph" w:styleId="9">
    <w:name w:val="Body Text First Indent 2"/>
    <w:basedOn w:val="3"/>
    <w:unhideWhenUsed/>
    <w:qFormat/>
    <w:uiPriority w:val="99"/>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8"/>
      <w:szCs w:val="28"/>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BodyText1I"/>
    <w:basedOn w:val="14"/>
    <w:qFormat/>
    <w:uiPriority w:val="0"/>
    <w:pPr>
      <w:ind w:firstLine="420" w:firstLineChars="100"/>
    </w:pPr>
  </w:style>
  <w:style w:type="paragraph" w:customStyle="1" w:styleId="14">
    <w:name w:val="BodyText"/>
    <w:basedOn w:val="1"/>
    <w:next w:val="1"/>
    <w:qFormat/>
    <w:uiPriority w:val="0"/>
    <w:pPr>
      <w:spacing w:after="120"/>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2024-02-26T09:11:00Z</dcterms:created>
  <dc:creator>l</dc:creator>
  <cp:lastModifiedBy>NTKO</cp:lastModifiedBy>
  <cp:lastPrinted>2024-03-11T03:10:00Z</cp:lastPrinted>
  <dcterms:modified xsi:type="dcterms:W3CDTF">2024-07-03T09:02:49Z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7861D7D51D5342E892932C512C4E0B99_13</vt:lpwstr>
  </property>
</Properties>
</file>