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1560" w:lineRule="exact"/>
        <w:jc w:val="center"/>
        <w:textAlignment w:val="auto"/>
        <w:rPr>
          <w:rFonts w:ascii="Times New Roman" w:hAnsi="Times New Roman" w:eastAsia="方正小标宋简体"/>
          <w:b/>
          <w:color w:val="FF0000"/>
          <w:spacing w:val="128"/>
          <w:w w:val="50"/>
          <w:sz w:val="160"/>
          <w:szCs w:val="160"/>
        </w:rPr>
      </w:pPr>
    </w:p>
    <w:p>
      <w:pPr>
        <w:keepNext w:val="0"/>
        <w:keepLines w:val="0"/>
        <w:pageBreakBefore w:val="0"/>
        <w:widowControl/>
        <w:kinsoku/>
        <w:wordWrap/>
        <w:overflowPunct/>
        <w:topLinePunct w:val="0"/>
        <w:autoSpaceDE/>
        <w:autoSpaceDN/>
        <w:bidi w:val="0"/>
        <w:adjustRightInd w:val="0"/>
        <w:snapToGrid w:val="0"/>
        <w:spacing w:before="31" w:beforeLines="10" w:after="0"/>
        <w:jc w:val="center"/>
        <w:textAlignment w:val="auto"/>
        <w:rPr>
          <w:rFonts w:ascii="Times New Roman" w:hAnsi="Times New Roman" w:eastAsia="方正小标宋简体"/>
          <w:b/>
          <w:color w:val="0000FF"/>
          <w:spacing w:val="57"/>
          <w:w w:val="50"/>
          <w:sz w:val="160"/>
          <w:szCs w:val="160"/>
        </w:rPr>
      </w:pPr>
      <w:r>
        <w:rPr>
          <w:rFonts w:ascii="Times New Roman" w:hAnsi="Times New Roman" w:eastAsia="方正小标宋简体"/>
          <w:b/>
          <w:color w:val="FFFFFF"/>
          <w:spacing w:val="57"/>
          <w:w w:val="50"/>
          <w:sz w:val="160"/>
          <w:szCs w:val="160"/>
        </w:rPr>
        <w:t>泗洪县人民政府文</w:t>
      </w:r>
      <w:r>
        <w:rPr>
          <w:rFonts w:ascii="Times New Roman" w:hAnsi="Times New Roman" w:eastAsia="方正小标宋简体"/>
          <w:b/>
          <w:color w:val="FFFFFF"/>
          <w:w w:val="50"/>
          <w:sz w:val="160"/>
          <w:szCs w:val="160"/>
        </w:rPr>
        <w:t>件</w:t>
      </w:r>
    </w:p>
    <w:p>
      <w:pPr>
        <w:keepNext w:val="0"/>
        <w:keepLines w:val="0"/>
        <w:pageBreakBefore w:val="0"/>
        <w:widowControl/>
        <w:kinsoku/>
        <w:wordWrap/>
        <w:overflowPunct/>
        <w:topLinePunct w:val="0"/>
        <w:autoSpaceDE/>
        <w:autoSpaceDN/>
        <w:bidi w:val="0"/>
        <w:adjustRightInd w:val="0"/>
        <w:snapToGrid w:val="0"/>
        <w:spacing w:after="0" w:line="400" w:lineRule="exact"/>
        <w:ind w:left="220" w:leftChars="100" w:right="220" w:rightChars="100"/>
        <w:jc w:val="center"/>
        <w:textAlignment w:val="auto"/>
        <w:rPr>
          <w:rFonts w:ascii="Times New Roman" w:hAnsi="Times New Roman" w:eastAsia="方正仿宋_GBK"/>
          <w:sz w:val="32"/>
          <w:szCs w:val="32"/>
        </w:rPr>
      </w:pPr>
    </w:p>
    <w:p>
      <w:pPr>
        <w:spacing w:line="580" w:lineRule="exact"/>
        <w:ind w:left="220" w:leftChars="100" w:right="220" w:rightChars="100"/>
        <w:jc w:val="center"/>
        <w:rPr>
          <w:rFonts w:ascii="Times New Roman" w:hAnsi="Times New Roman" w:eastAsia="方正仿宋简体"/>
          <w:sz w:val="32"/>
          <w:szCs w:val="32"/>
        </w:rPr>
      </w:pPr>
      <w:r>
        <w:rPr>
          <w:rFonts w:ascii="Times New Roman" w:hAnsi="Times New Roman" w:eastAsia="方正仿宋_GBK"/>
          <w:sz w:val="32"/>
          <w:szCs w:val="32"/>
        </w:rPr>
        <w:t>洪政发〔20</w:t>
      </w:r>
      <w:r>
        <w:rPr>
          <w:rFonts w:hint="eastAsia" w:ascii="Times New Roman" w:hAnsi="Times New Roman" w:eastAsia="方正仿宋_GBK"/>
          <w:sz w:val="32"/>
          <w:szCs w:val="32"/>
        </w:rPr>
        <w:t>2</w:t>
      </w: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8</w:t>
      </w:r>
      <w:r>
        <w:rPr>
          <w:rFonts w:ascii="Times New Roman" w:hAnsi="Times New Roman" w:eastAsia="方正仿宋_GBK"/>
          <w:sz w:val="32"/>
          <w:szCs w:val="32"/>
        </w:rPr>
        <w:t>号</w:t>
      </w:r>
    </w:p>
    <w:p>
      <w:pPr>
        <w:keepNext w:val="0"/>
        <w:keepLines w:val="0"/>
        <w:pageBreakBefore w:val="0"/>
        <w:widowControl/>
        <w:kinsoku/>
        <w:wordWrap/>
        <w:overflowPunct/>
        <w:topLinePunct w:val="0"/>
        <w:autoSpaceDE/>
        <w:autoSpaceDN/>
        <w:bidi w:val="0"/>
        <w:adjustRightInd w:val="0"/>
        <w:snapToGrid w:val="0"/>
        <w:spacing w:after="0" w:line="40" w:lineRule="exact"/>
        <w:textAlignment w:val="auto"/>
        <w:rPr>
          <w:rFonts w:ascii="Times New Roman" w:hAnsi="Times New Roman"/>
        </w:rPr>
      </w:pPr>
    </w:p>
    <w:p>
      <w:pPr>
        <w:keepNext w:val="0"/>
        <w:keepLines w:val="0"/>
        <w:pageBreakBefore w:val="0"/>
        <w:widowControl w:val="0"/>
        <w:kinsoku/>
        <w:wordWrap/>
        <w:overflowPunct/>
        <w:topLinePunct w:val="0"/>
        <w:bidi w:val="0"/>
        <w:spacing w:line="400" w:lineRule="exact"/>
        <w:ind w:right="-163" w:rightChars="-74"/>
        <w:jc w:val="center"/>
        <w:textAlignment w:val="auto"/>
        <w:rPr>
          <w:rFonts w:ascii="Times New Roman" w:hAnsi="Times New Roman" w:eastAsia="方正小标宋简体"/>
          <w:sz w:val="44"/>
          <w:szCs w:val="44"/>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48895</wp:posOffset>
                </wp:positionH>
                <wp:positionV relativeFrom="paragraph">
                  <wp:posOffset>8890</wp:posOffset>
                </wp:positionV>
                <wp:extent cx="5582285" cy="5715"/>
                <wp:effectExtent l="0" t="20320" r="18415" b="31115"/>
                <wp:wrapNone/>
                <wp:docPr id="1" name="直接连接符 1"/>
                <wp:cNvGraphicFramePr/>
                <a:graphic xmlns:a="http://schemas.openxmlformats.org/drawingml/2006/main">
                  <a:graphicData uri="http://schemas.microsoft.com/office/word/2010/wordprocessingShape">
                    <wps:wsp>
                      <wps:cNvCnPr/>
                      <wps:spPr>
                        <a:xfrm flipV="1">
                          <a:off x="0" y="0"/>
                          <a:ext cx="5582285" cy="5715"/>
                        </a:xfrm>
                        <a:prstGeom prst="line">
                          <a:avLst/>
                        </a:prstGeom>
                        <a:ln w="41275" cap="flat" cmpd="sng">
                          <a:solidFill>
                            <a:srgbClr val="FFFFFF"/>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85pt;margin-top:0.7pt;height:0.45pt;width:439.55pt;z-index:251659264;mso-width-relative:page;mso-height-relative:page;" filled="f" stroked="t" coordsize="21600,21600" o:gfxdata="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GVswx1gAAAAUBAAAPAAAAAAAAAAEAIAAAACIAAABkcnMvZG93&#10;bnJldi54bWxQSwECFAAUAAAACACHTuJAAedY6wICAAAABAAADgAAAAAAAAABACAAAAAlAQAAZHJz&#10;L2Uyb0RvYy54bWxQSwUGAAAAAAYABgBZAQAAmQUAAAAA&#10;">
                <v:fill on="f" focussize="0,0"/>
                <v:stroke weight="3.25pt" color="#FFFFFF"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after="0" w:line="400" w:lineRule="exact"/>
        <w:jc w:val="both"/>
        <w:textAlignment w:val="auto"/>
        <w:outlineLvl w:val="9"/>
        <w:rPr>
          <w:rFonts w:hint="default" w:ascii="Times New Roman" w:hAnsi="Times New Roman" w:eastAsia="方正小标宋_GBK" w:cs="Times New Roman"/>
          <w:sz w:val="44"/>
          <w:szCs w:val="44"/>
        </w:rPr>
      </w:pPr>
      <w:bookmarkStart w:id="0" w:name="_GoBack"/>
      <w:bookmarkEnd w:id="0"/>
    </w:p>
    <w:p>
      <w:pPr>
        <w:keepNext w:val="0"/>
        <w:keepLines w:val="0"/>
        <w:pageBreakBefore w:val="0"/>
        <w:widowControl/>
        <w:kinsoku/>
        <w:wordWrap/>
        <w:overflowPunct/>
        <w:topLinePunct w:val="0"/>
        <w:autoSpaceDE/>
        <w:autoSpaceDN/>
        <w:bidi w:val="0"/>
        <w:adjustRightInd w:val="0"/>
        <w:snapToGrid w:val="0"/>
        <w:spacing w:after="0" w:line="700" w:lineRule="exact"/>
        <w:jc w:val="center"/>
        <w:textAlignment w:val="auto"/>
        <w:rPr>
          <w:rFonts w:hint="eastAsia" w:ascii="Times New Roman" w:hAnsi="Times New Roman" w:eastAsia="方正小标宋_GBK"/>
          <w:sz w:val="44"/>
          <w:szCs w:val="44"/>
          <w:lang w:val="en-US" w:eastAsia="zh-CN"/>
        </w:rPr>
      </w:pPr>
      <w:r>
        <w:rPr>
          <w:rFonts w:ascii="Times New Roman" w:hAnsi="Times New Roman" w:eastAsia="方正小标宋_GBK"/>
          <w:sz w:val="44"/>
          <w:szCs w:val="44"/>
        </w:rPr>
        <w:t>泗洪县人民政府关于</w:t>
      </w:r>
      <w:r>
        <w:rPr>
          <w:rFonts w:hint="eastAsia" w:ascii="Times New Roman" w:hAnsi="Times New Roman" w:eastAsia="方正小标宋_GBK"/>
          <w:sz w:val="44"/>
          <w:szCs w:val="44"/>
          <w:lang w:val="en-US" w:eastAsia="zh-CN"/>
        </w:rPr>
        <w:t>收回</w:t>
      </w:r>
    </w:p>
    <w:p>
      <w:pPr>
        <w:keepNext w:val="0"/>
        <w:keepLines w:val="0"/>
        <w:pageBreakBefore w:val="0"/>
        <w:widowControl/>
        <w:kinsoku/>
        <w:wordWrap/>
        <w:overflowPunct/>
        <w:topLinePunct w:val="0"/>
        <w:autoSpaceDE/>
        <w:autoSpaceDN/>
        <w:bidi w:val="0"/>
        <w:adjustRightInd w:val="0"/>
        <w:snapToGrid w:val="0"/>
        <w:spacing w:after="0" w:line="700" w:lineRule="exact"/>
        <w:jc w:val="center"/>
        <w:textAlignment w:val="auto"/>
        <w:rPr>
          <w:rFonts w:hint="default" w:ascii="Times New Roman" w:hAnsi="Times New Roman" w:eastAsia="方正小标宋_GBK"/>
          <w:sz w:val="44"/>
          <w:szCs w:val="44"/>
          <w:lang w:val="en-US" w:eastAsia="zh-CN"/>
        </w:rPr>
      </w:pPr>
      <w:r>
        <w:rPr>
          <w:rFonts w:hint="eastAsia" w:ascii="Times New Roman" w:hAnsi="Times New Roman" w:eastAsia="方正小标宋_GBK"/>
          <w:sz w:val="44"/>
          <w:szCs w:val="44"/>
          <w:lang w:val="en-US" w:eastAsia="zh-CN"/>
        </w:rPr>
        <w:t>乡镇部分行政处罚权赋权事项的通知</w:t>
      </w:r>
    </w:p>
    <w:p>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eastAsia" w:ascii="Times New Roman" w:hAnsi="Times New Roman" w:eastAsia="方正小标宋_GBK"/>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ascii="Times New Roman" w:hAnsi="Times New Roman" w:eastAsia="方正仿宋_GBK"/>
          <w:sz w:val="32"/>
          <w:szCs w:val="32"/>
        </w:rPr>
      </w:pPr>
      <w:r>
        <w:rPr>
          <w:rFonts w:ascii="Times New Roman" w:hAnsi="Times New Roman" w:eastAsia="方正仿宋_GBK"/>
          <w:sz w:val="32"/>
          <w:szCs w:val="32"/>
        </w:rPr>
        <w:t>各乡镇人民政府</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各街道办事处，县各开发区、园区管委会，县各</w:t>
      </w:r>
      <w:r>
        <w:rPr>
          <w:rFonts w:hint="eastAsia" w:ascii="Times New Roman" w:hAnsi="Times New Roman" w:eastAsia="方正仿宋_GBK"/>
          <w:sz w:val="32"/>
          <w:szCs w:val="32"/>
          <w:lang w:eastAsia="zh-CN"/>
        </w:rPr>
        <w:t>有关部门和</w:t>
      </w:r>
      <w:r>
        <w:rPr>
          <w:rFonts w:ascii="Times New Roman" w:hAnsi="Times New Roman" w:eastAsia="方正仿宋_GBK"/>
          <w:sz w:val="32"/>
          <w:szCs w:val="32"/>
        </w:rPr>
        <w:t>单位：</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为提升基层管理水平，</w:t>
      </w:r>
      <w:r>
        <w:rPr>
          <w:rFonts w:hint="default" w:ascii="Times New Roman" w:hAnsi="Times New Roman" w:eastAsia="方正仿宋_GBK" w:cs="Times New Roman"/>
          <w:color w:val="auto"/>
          <w:sz w:val="32"/>
          <w:szCs w:val="32"/>
          <w:lang w:val="en-US" w:eastAsia="zh-CN"/>
        </w:rPr>
        <w:t>切实为基层减负，推动基层治理效能不断提升，</w:t>
      </w:r>
      <w:r>
        <w:rPr>
          <w:rFonts w:hint="eastAsia" w:ascii="Times New Roman" w:hAnsi="Times New Roman" w:eastAsia="方正仿宋_GBK" w:cs="Times New Roman"/>
          <w:color w:val="auto"/>
          <w:sz w:val="32"/>
          <w:szCs w:val="32"/>
          <w:lang w:val="en-US" w:eastAsia="zh-CN"/>
        </w:rPr>
        <w:t>根据</w:t>
      </w:r>
      <w:r>
        <w:rPr>
          <w:rFonts w:hint="default" w:ascii="Times New Roman" w:hAnsi="Times New Roman" w:eastAsia="方正仿宋_GBK" w:cs="Times New Roman"/>
          <w:color w:val="auto"/>
          <w:sz w:val="32"/>
          <w:szCs w:val="32"/>
          <w:lang w:val="en-US" w:eastAsia="zh-CN"/>
        </w:rPr>
        <w:t>中央编办《关于乡镇（街道）履职事项清单810项上级部门收回事项的通知》（中编办发〔2024〕194号）</w:t>
      </w:r>
      <w:r>
        <w:rPr>
          <w:rFonts w:hint="eastAsia" w:ascii="Times New Roman" w:hAnsi="Times New Roman" w:eastAsia="方正仿宋_GBK" w:cs="Times New Roman"/>
          <w:color w:val="auto"/>
          <w:sz w:val="32"/>
          <w:szCs w:val="32"/>
          <w:lang w:val="en-US" w:eastAsia="zh-CN"/>
        </w:rPr>
        <w:t>精神，我县决定收回双沟镇、石集乡、天岗湖乡、上塘镇等16个乡镇部分行政处罚权赋权事项，现将《泗洪县收回乡镇行政处罚权赋权事项清单》予以公布。自本清单公布之日起，各乡镇不再行使被收回的行政处罚权赋权事项，被收回行政处罚权赋权事项由原实施机关依法继续行使。</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县各有关行政执法部门要做好相关权力的收回和承接工作，确保平稳过渡，避免出现管理空白，权力承接后要依法履行职责，严格落实行政执法“三项制度”，推进行政执法规范化建设，加强人员、装备、经费保障，提升行政执法质量和效能。各乡镇要配合做好赋权事项收回工作，加快推动事权清晰、责能相适、履职顺畅、保障有力的乡镇权责体系在基层落地落实。</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p>
    <w:p>
      <w:pPr>
        <w:keepNext w:val="0"/>
        <w:keepLines w:val="0"/>
        <w:pageBreakBefore w:val="0"/>
        <w:widowControl w:val="0"/>
        <w:kinsoku/>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附件：《</w:t>
      </w:r>
      <w:r>
        <w:rPr>
          <w:rFonts w:hint="eastAsia" w:ascii="Times New Roman" w:hAnsi="Times New Roman" w:eastAsia="方正仿宋_GBK" w:cs="Times New Roman"/>
          <w:color w:val="auto"/>
          <w:sz w:val="32"/>
          <w:szCs w:val="32"/>
          <w:lang w:val="en-US" w:eastAsia="zh-CN"/>
        </w:rPr>
        <w:t>泗洪县收回乡镇行政处罚权赋权事项清单</w:t>
      </w:r>
      <w:r>
        <w:rPr>
          <w:rFonts w:hint="eastAsia" w:ascii="Times New Roman" w:hAnsi="Times New Roman" w:eastAsia="方正仿宋_GBK"/>
          <w:sz w:val="32"/>
          <w:szCs w:val="32"/>
        </w:rPr>
        <w:t>》</w:t>
      </w:r>
    </w:p>
    <w:p>
      <w:pPr>
        <w:keepNext w:val="0"/>
        <w:keepLines w:val="0"/>
        <w:pageBreakBefore w:val="0"/>
        <w:widowControl w:val="0"/>
        <w:kinsoku/>
        <w:overflowPunct/>
        <w:topLinePunct w:val="0"/>
        <w:autoSpaceDE/>
        <w:autoSpaceDN/>
        <w:bidi w:val="0"/>
        <w:adjustRightInd w:val="0"/>
        <w:snapToGrid w:val="0"/>
        <w:spacing w:after="0" w:line="560" w:lineRule="exact"/>
        <w:ind w:firstLine="640" w:firstLineChars="200"/>
        <w:jc w:val="right"/>
        <w:textAlignment w:val="auto"/>
        <w:rPr>
          <w:rFonts w:ascii="Times New Roman" w:hAnsi="Times New Roman" w:eastAsia="方正仿宋_GBK"/>
          <w:sz w:val="32"/>
          <w:szCs w:val="32"/>
        </w:rPr>
      </w:pPr>
    </w:p>
    <w:p>
      <w:pPr>
        <w:keepNext w:val="0"/>
        <w:keepLines w:val="0"/>
        <w:pageBreakBefore w:val="0"/>
        <w:widowControl w:val="0"/>
        <w:kinsoku/>
        <w:overflowPunct/>
        <w:topLinePunct w:val="0"/>
        <w:autoSpaceDE/>
        <w:autoSpaceDN/>
        <w:bidi w:val="0"/>
        <w:adjustRightInd w:val="0"/>
        <w:snapToGrid w:val="0"/>
        <w:spacing w:after="0" w:line="560" w:lineRule="exact"/>
        <w:ind w:firstLine="640" w:firstLineChars="200"/>
        <w:jc w:val="center"/>
        <w:textAlignment w:val="auto"/>
        <w:rPr>
          <w:rFonts w:ascii="Times New Roman" w:hAnsi="Times New Roman" w:eastAsia="方正仿宋_GBK"/>
          <w:sz w:val="32"/>
          <w:szCs w:val="32"/>
        </w:rPr>
      </w:pPr>
    </w:p>
    <w:p>
      <w:pPr>
        <w:keepNext w:val="0"/>
        <w:keepLines w:val="0"/>
        <w:pageBreakBefore w:val="0"/>
        <w:widowControl w:val="0"/>
        <w:kinsoku/>
        <w:overflowPunct/>
        <w:topLinePunct w:val="0"/>
        <w:autoSpaceDE/>
        <w:autoSpaceDN/>
        <w:bidi w:val="0"/>
        <w:adjustRightInd w:val="0"/>
        <w:snapToGrid w:val="0"/>
        <w:spacing w:after="0" w:line="560" w:lineRule="exact"/>
        <w:ind w:firstLine="640" w:firstLineChars="200"/>
        <w:jc w:val="center"/>
        <w:textAlignment w:val="auto"/>
        <w:rPr>
          <w:rFonts w:ascii="Times New Roman" w:hAnsi="Times New Roman" w:eastAsia="方正仿宋_GBK"/>
          <w:sz w:val="32"/>
          <w:szCs w:val="32"/>
        </w:rPr>
      </w:pPr>
      <w:r>
        <w:rPr>
          <w:rFonts w:ascii="Times New Roman" w:hAnsi="Times New Roman" w:eastAsia="方正仿宋_GBK"/>
          <w:sz w:val="32"/>
          <w:szCs w:val="32"/>
        </w:rPr>
        <w:t xml:space="preserve">                   </w:t>
      </w:r>
    </w:p>
    <w:p>
      <w:pPr>
        <w:keepNext w:val="0"/>
        <w:keepLines w:val="0"/>
        <w:pageBreakBefore w:val="0"/>
        <w:widowControl w:val="0"/>
        <w:kinsoku/>
        <w:overflowPunct/>
        <w:topLinePunct w:val="0"/>
        <w:autoSpaceDE/>
        <w:autoSpaceDN/>
        <w:bidi w:val="0"/>
        <w:adjustRightInd w:val="0"/>
        <w:snapToGrid w:val="0"/>
        <w:spacing w:after="0" w:line="560" w:lineRule="exact"/>
        <w:ind w:left="0" w:leftChars="0" w:firstLine="720" w:firstLineChars="225"/>
        <w:jc w:val="center"/>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泗洪县人民政府</w:t>
      </w:r>
    </w:p>
    <w:p>
      <w:pPr>
        <w:keepNext w:val="0"/>
        <w:keepLines w:val="0"/>
        <w:pageBreakBefore w:val="0"/>
        <w:widowControl w:val="0"/>
        <w:tabs>
          <w:tab w:val="left" w:pos="7480"/>
        </w:tabs>
        <w:kinsoku/>
        <w:wordWrap w:val="0"/>
        <w:overflowPunct/>
        <w:topLinePunct w:val="0"/>
        <w:autoSpaceDE/>
        <w:autoSpaceDN/>
        <w:bidi w:val="0"/>
        <w:adjustRightInd w:val="0"/>
        <w:snapToGrid w:val="0"/>
        <w:spacing w:after="0" w:line="560" w:lineRule="exact"/>
        <w:ind w:firstLine="640" w:firstLineChars="200"/>
        <w:jc w:val="center"/>
        <w:textAlignment w:val="auto"/>
        <w:rPr>
          <w:rFonts w:hint="eastAsia" w:ascii="Times New Roman" w:hAnsi="Times New Roman" w:eastAsia="方正仿宋_GBK"/>
          <w:sz w:val="32"/>
          <w:szCs w:val="32"/>
        </w:rPr>
      </w:pPr>
      <w:r>
        <w:rPr>
          <w:rFonts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20</w:t>
      </w:r>
      <w:r>
        <w:rPr>
          <w:rFonts w:hint="eastAsia" w:ascii="Times New Roman" w:hAnsi="Times New Roman" w:eastAsia="方正仿宋_GBK"/>
          <w:sz w:val="32"/>
          <w:szCs w:val="32"/>
        </w:rPr>
        <w:t>2</w:t>
      </w: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19</w:t>
      </w:r>
      <w:r>
        <w:rPr>
          <w:rFonts w:ascii="Times New Roman" w:hAnsi="Times New Roman" w:eastAsia="方正仿宋_GBK"/>
          <w:sz w:val="32"/>
          <w:szCs w:val="32"/>
        </w:rPr>
        <w:t>日</w:t>
      </w:r>
    </w:p>
    <w:p>
      <w:pPr>
        <w:keepNext w:val="0"/>
        <w:keepLines w:val="0"/>
        <w:pageBreakBefore w:val="0"/>
        <w:widowControl w:val="0"/>
        <w:tabs>
          <w:tab w:val="left" w:pos="7480"/>
        </w:tabs>
        <w:kinsoku/>
        <w:wordWrap w:val="0"/>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方正仿宋_GBK"/>
          <w:sz w:val="32"/>
          <w:szCs w:val="32"/>
        </w:rPr>
        <w:sectPr>
          <w:footerReference r:id="rId4" w:type="default"/>
          <w:footerReference r:id="rId5" w:type="even"/>
          <w:pgSz w:w="11906" w:h="16838"/>
          <w:pgMar w:top="2041" w:right="1531" w:bottom="2041" w:left="1531" w:header="680" w:footer="1474" w:gutter="0"/>
          <w:pgNumType w:fmt="decimal"/>
          <w:cols w:space="720" w:num="1"/>
          <w:rtlGutter w:val="0"/>
          <w:docGrid w:linePitch="360" w:charSpace="0"/>
        </w:sectPr>
      </w:pPr>
      <w:r>
        <w:rPr>
          <w:rFonts w:hint="eastAsia" w:ascii="Times New Roman" w:hAnsi="Times New Roman" w:eastAsia="方正仿宋_GBK"/>
          <w:sz w:val="32"/>
          <w:szCs w:val="32"/>
        </w:rPr>
        <w:t>（此件公开发布）</w:t>
      </w:r>
    </w:p>
    <w:p>
      <w:pPr>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w:t>
      </w:r>
    </w:p>
    <w:p>
      <w:pPr>
        <w:spacing w:beforeLines="50" w:afterLines="50" w:line="59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t>泗洪县</w:t>
      </w:r>
      <w:r>
        <w:rPr>
          <w:rFonts w:hint="default" w:ascii="Times New Roman" w:hAnsi="Times New Roman" w:eastAsia="方正小标宋_GBK" w:cs="Times New Roman"/>
          <w:color w:val="000000" w:themeColor="text1"/>
          <w:sz w:val="44"/>
          <w:szCs w:val="44"/>
          <w14:textFill>
            <w14:solidFill>
              <w14:schemeClr w14:val="tx1"/>
            </w14:solidFill>
          </w14:textFill>
        </w:rPr>
        <w:t>收回乡镇行政处罚权赋权事项清单</w:t>
      </w:r>
    </w:p>
    <w:p>
      <w:pPr>
        <w:keepNext w:val="0"/>
        <w:keepLines w:val="0"/>
        <w:pageBreakBefore w:val="0"/>
        <w:widowControl w:val="0"/>
        <w:kinsoku/>
        <w:wordWrap/>
        <w:overflowPunct/>
        <w:topLinePunct w:val="0"/>
        <w:autoSpaceDE/>
        <w:autoSpaceDN/>
        <w:bidi w:val="0"/>
        <w:adjustRightInd/>
        <w:snapToGrid/>
        <w:spacing w:after="159" w:afterLines="50" w:line="440" w:lineRule="exact"/>
        <w:jc w:val="both"/>
        <w:textAlignment w:val="auto"/>
        <w:rPr>
          <w:rFonts w:hint="default" w:ascii="Times New Roman" w:hAnsi="Times New Roman" w:eastAsia="方正楷体_GBK" w:cs="Times New Roman"/>
          <w:b w:val="0"/>
          <w:bCs/>
          <w:color w:val="000000" w:themeColor="text1"/>
          <w:sz w:val="28"/>
          <w:szCs w:val="28"/>
          <w:lang w:val="en-US" w:eastAsia="zh-CN"/>
          <w14:textFill>
            <w14:solidFill>
              <w14:schemeClr w14:val="tx1"/>
            </w14:solidFill>
          </w14:textFill>
        </w:rPr>
      </w:pPr>
      <w:r>
        <w:rPr>
          <w:rFonts w:hint="default" w:ascii="Times New Roman" w:hAnsi="Times New Roman" w:eastAsia="方正楷体_GBK" w:cs="Times New Roman"/>
          <w:b w:val="0"/>
          <w:bCs/>
          <w:color w:val="000000" w:themeColor="text1"/>
          <w:sz w:val="28"/>
          <w:szCs w:val="28"/>
          <w:lang w:val="en-US" w:eastAsia="zh-CN"/>
          <w14:textFill>
            <w14:solidFill>
              <w14:schemeClr w14:val="tx1"/>
            </w14:solidFill>
          </w14:textFill>
        </w:rPr>
        <w:t>（一）石集乡、天岗湖乡、上塘镇、魏营镇、车门乡、瑶沟乡、梅花镇、归仁镇、金锁镇、朱湖镇、界集镇、龙集镇、孙园镇、半城镇、临淮镇</w:t>
      </w:r>
      <w:r>
        <w:rPr>
          <w:rFonts w:hint="eastAsia" w:ascii="Times New Roman" w:hAnsi="Times New Roman" w:eastAsia="方正楷体_GBK" w:cs="Times New Roman"/>
          <w:b w:val="0"/>
          <w:bCs/>
          <w:color w:val="000000" w:themeColor="text1"/>
          <w:sz w:val="28"/>
          <w:szCs w:val="28"/>
          <w:lang w:val="en-US" w:eastAsia="zh-CN"/>
          <w14:textFill>
            <w14:solidFill>
              <w14:schemeClr w14:val="tx1"/>
            </w14:solidFill>
          </w14:textFill>
        </w:rPr>
        <w:t>等15个乡镇</w:t>
      </w:r>
      <w:r>
        <w:rPr>
          <w:rFonts w:hint="default" w:ascii="Times New Roman" w:hAnsi="Times New Roman" w:eastAsia="方正楷体_GBK" w:cs="Times New Roman"/>
          <w:b w:val="0"/>
          <w:bCs/>
          <w:color w:val="000000" w:themeColor="text1"/>
          <w:sz w:val="28"/>
          <w:szCs w:val="28"/>
          <w:lang w:val="en-US" w:eastAsia="zh-CN"/>
          <w14:textFill>
            <w14:solidFill>
              <w14:schemeClr w14:val="tx1"/>
            </w14:solidFill>
          </w14:textFill>
        </w:rPr>
        <w:t>收回行政处罚权赋权事项清单</w:t>
      </w:r>
    </w:p>
    <w:tbl>
      <w:tblPr>
        <w:tblStyle w:val="7"/>
        <w:tblW w:w="9359" w:type="dxa"/>
        <w:jc w:val="center"/>
        <w:tblLayout w:type="fixed"/>
        <w:tblCellMar>
          <w:top w:w="0" w:type="dxa"/>
          <w:left w:w="0" w:type="dxa"/>
          <w:bottom w:w="0" w:type="dxa"/>
          <w:right w:w="0" w:type="dxa"/>
        </w:tblCellMar>
      </w:tblPr>
      <w:tblGrid>
        <w:gridCol w:w="624"/>
        <w:gridCol w:w="1474"/>
        <w:gridCol w:w="4365"/>
        <w:gridCol w:w="2896"/>
      </w:tblGrid>
      <w:tr>
        <w:tblPrEx>
          <w:tblCellMar>
            <w:top w:w="0" w:type="dxa"/>
            <w:left w:w="0" w:type="dxa"/>
            <w:bottom w:w="0" w:type="dxa"/>
            <w:right w:w="0" w:type="dxa"/>
          </w:tblCellMar>
        </w:tblPrEx>
        <w:trPr>
          <w:trHeight w:val="567" w:hRule="atLeast"/>
          <w:tblHeader/>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z w:val="21"/>
                <w:szCs w:val="21"/>
                <w:lang w:val="en-US" w:eastAsia="zh-CN"/>
                <w14:textFill>
                  <w14:solidFill>
                    <w14:schemeClr w14:val="tx1"/>
                  </w14:solidFill>
                </w14:textFill>
              </w:rPr>
              <w:t>序号</w:t>
            </w: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z w:val="21"/>
                <w:szCs w:val="21"/>
                <w14:textFill>
                  <w14:solidFill>
                    <w14:schemeClr w14:val="tx1"/>
                  </w14:solidFill>
                </w14:textFill>
              </w:rPr>
            </w:pPr>
            <w:r>
              <w:rPr>
                <w:rFonts w:hint="default" w:ascii="Times New Roman" w:hAnsi="Times New Roman" w:eastAsia="方正黑体_GBK" w:cs="Times New Roman"/>
                <w:color w:val="000000" w:themeColor="text1"/>
                <w:sz w:val="21"/>
                <w:szCs w:val="21"/>
                <w14:textFill>
                  <w14:solidFill>
                    <w14:schemeClr w14:val="tx1"/>
                  </w14:solidFill>
                </w14:textFill>
              </w:rPr>
              <w:t>基本编码</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z w:val="21"/>
                <w:szCs w:val="21"/>
                <w:lang w:val="en-US" w:eastAsia="zh-CN"/>
                <w14:textFill>
                  <w14:solidFill>
                    <w14:schemeClr w14:val="tx1"/>
                  </w14:solidFill>
                </w14:textFill>
              </w:rPr>
              <w:t>权力名称</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z w:val="2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z w:val="21"/>
                <w:szCs w:val="21"/>
                <w:lang w:val="en-US" w:eastAsia="zh-CN"/>
                <w14:textFill>
                  <w14:solidFill>
                    <w14:schemeClr w14:val="tx1"/>
                  </w14:solidFill>
                </w14:textFill>
              </w:rPr>
              <w:t>收回</w:t>
            </w:r>
            <w:r>
              <w:rPr>
                <w:rFonts w:hint="eastAsia" w:ascii="Times New Roman" w:hAnsi="Times New Roman" w:eastAsia="方正黑体_GBK" w:cs="Times New Roman"/>
                <w:color w:val="000000" w:themeColor="text1"/>
                <w:sz w:val="21"/>
                <w:szCs w:val="21"/>
                <w:lang w:val="en-US" w:eastAsia="zh-CN"/>
                <w14:textFill>
                  <w14:solidFill>
                    <w14:schemeClr w14:val="tx1"/>
                  </w14:solidFill>
                </w14:textFill>
              </w:rPr>
              <w:t>上级</w:t>
            </w:r>
            <w:r>
              <w:rPr>
                <w:rFonts w:hint="default" w:ascii="Times New Roman" w:hAnsi="Times New Roman" w:eastAsia="方正黑体_GBK" w:cs="Times New Roman"/>
                <w:color w:val="000000" w:themeColor="text1"/>
                <w:sz w:val="21"/>
                <w:szCs w:val="21"/>
                <w:lang w:val="en-US" w:eastAsia="zh-CN"/>
                <w14:textFill>
                  <w14:solidFill>
                    <w14:schemeClr w14:val="tx1"/>
                  </w14:solidFill>
                </w14:textFill>
              </w:rPr>
              <w:t>部门</w:t>
            </w:r>
          </w:p>
        </w:tc>
      </w:tr>
      <w:tr>
        <w:tblPrEx>
          <w:tblCellMar>
            <w:top w:w="0" w:type="dxa"/>
            <w:left w:w="0" w:type="dxa"/>
            <w:bottom w:w="0" w:type="dxa"/>
            <w:right w:w="0" w:type="dxa"/>
          </w:tblCellMar>
        </w:tblPrEx>
        <w:trPr>
          <w:trHeight w:val="4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320217491000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对住宅物业的建设单位未通过招投标的方式选聘物业服务企业或者未经批准，擅自采用协议方式选聘物业服务企业的处罚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320217492000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对建设单位擅自处分属于业主的物业共用部位、共用设施设备的所有权或者使用权的处罚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20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320217612000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对物业服务企业将一个物业管理区域内的全部物业管理一并委托给他人的处罚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13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320217447000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对建设单位在物业管理区域内不按照规定配置必要的物业管理用房的处罚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24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320217613000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对物业服务企业未经业主大会同意擅自改变物业管理用房的用途的处罚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48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320217625000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对擅自改变物业管理区域内按照规划建设的公共建筑和共用设施用途的处罚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17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320217585000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对擅自占用、挖掘物业管理区域内道路、场地，损害业主共同利益的处罚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320217586000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对擅自利用物业共用部位、共用设施设备进行经营的处罚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泗洪县综合行政执法局</w:t>
            </w:r>
          </w:p>
        </w:tc>
      </w:tr>
      <w:tr>
        <w:tblPrEx>
          <w:tblCellMar>
            <w:top w:w="0" w:type="dxa"/>
            <w:left w:w="0" w:type="dxa"/>
            <w:bottom w:w="0" w:type="dxa"/>
            <w:right w:w="0" w:type="dxa"/>
          </w:tblCellMar>
        </w:tblPrEx>
        <w:trPr>
          <w:trHeight w:val="73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320215346000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对未经批准或者未按照批准内容进行临时建设，以及对临时建筑物、构筑物超过批准期限不拆除的处罚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泗洪县自然资源和规划局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320223146000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对公共场所卫生管理不符合规定的处罚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320223148000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对未获得</w:t>
            </w:r>
            <w:r>
              <w:rPr>
                <w:rStyle w:val="11"/>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w:t>
            </w: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健康合格证</w:t>
            </w:r>
            <w:r>
              <w:rPr>
                <w:rStyle w:val="11"/>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w:t>
            </w: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，而从事直接为顾客服务的处罚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23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320223097000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对公共场所卫生质量不符合卫生标准和要求的处罚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320223029000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对公用物品和器具不符合国家卫生标准和要求的处罚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t>320223089000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10"/>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对从事计划生育技术服务的机构或人员未经批准擅自扩大计划生育技术服务项目的处罚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45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t>320223079000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10"/>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对计划生育技术服务机构或者医疗、保健机构以外的机构或者人员擅自从事计划生育技术服务的处罚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t>320223096000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10"/>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对伪造、变造、买卖计划生育证明及从事计划生育技术服务的机构出具虚假证明文件的处罚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58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320223109000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对公共场所的经营者未查验服务人员的健康合格证明或者允许未取得健康合格证明的人员从事服务工作，未在公共场所内放置安全套或者设置安全套发售设施的处罚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22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320223040000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对发生危害健康事故未立即采取处置措施，导致危害扩大，或者隐瞒、缓报、谎报的处罚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21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320223006000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对未取得“卫生许可证”擅自营业的处罚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40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320223065000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spacing w:val="-6"/>
                <w:kern w:val="0"/>
                <w:sz w:val="21"/>
                <w:szCs w:val="21"/>
                <w:u w:val="none"/>
                <w:shd w:val="clear" w:color="auto" w:fill="auto"/>
                <w:lang w:val="en-US" w:eastAsia="zh-CN" w:bidi="ar"/>
                <w14:textFill>
                  <w14:solidFill>
                    <w14:schemeClr w14:val="tx1"/>
                  </w14:solidFill>
                </w14:textFill>
              </w:rPr>
              <w:t>对非法为他人施行计划生育手术，或者利用超声技术和其他技术手段为他人进行非医学需要的胎儿性别鉴定或选择性别的人工终止妊娠的处罚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320220016000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对未取得生产许可证生产饲料、饲料添加剂的处罚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24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320220105000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对生产、销售未取得登记证的肥料产品等行为的行政处罚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64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320220205000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对未取得农药经营许可证经营农药；经营假农药；在农药中添加物质；取得农药经营许可证的农药经营者不再符合规定条件继续经营农药的处罚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42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320220085000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spacing w:val="-6"/>
                <w:kern w:val="0"/>
                <w:sz w:val="21"/>
                <w:szCs w:val="21"/>
                <w:u w:val="none"/>
                <w:lang w:val="en-US" w:eastAsia="zh-CN" w:bidi="ar"/>
                <w14:textFill>
                  <w14:solidFill>
                    <w14:schemeClr w14:val="tx1"/>
                  </w14:solidFill>
                </w14:textFill>
              </w:rPr>
              <w:t>对</w:t>
            </w:r>
            <w:r>
              <w:rPr>
                <w:rFonts w:hint="default" w:ascii="Times New Roman" w:hAnsi="Times New Roman" w:eastAsia="方正仿宋_GBK" w:cs="Times New Roman"/>
                <w:i w:val="0"/>
                <w:iCs w:val="0"/>
                <w:color w:val="000000" w:themeColor="text1"/>
                <w:spacing w:val="-11"/>
                <w:kern w:val="0"/>
                <w:sz w:val="21"/>
                <w:szCs w:val="21"/>
                <w:u w:val="none"/>
                <w:lang w:val="en-US" w:eastAsia="zh-CN" w:bidi="ar"/>
                <w14:textFill>
                  <w14:solidFill>
                    <w14:schemeClr w14:val="tx1"/>
                  </w14:solidFill>
                </w14:textFill>
              </w:rPr>
              <w:t>饲料、饲料添加剂生产企业、经营者在生产、经营过程中，以非饲料、非饲料添加剂冒充饲料、饲料添加剂</w:t>
            </w:r>
            <w:r>
              <w:rPr>
                <w:rFonts w:hint="default" w:ascii="Times New Roman" w:hAnsi="Times New Roman" w:eastAsia="方正仿宋_GBK" w:cs="Times New Roman"/>
                <w:i w:val="0"/>
                <w:iCs w:val="0"/>
                <w:color w:val="000000" w:themeColor="text1"/>
                <w:spacing w:val="-17"/>
                <w:kern w:val="0"/>
                <w:sz w:val="21"/>
                <w:szCs w:val="21"/>
                <w:u w:val="none"/>
                <w:lang w:val="en-US" w:eastAsia="zh-CN" w:bidi="ar"/>
                <w14:textFill>
                  <w14:solidFill>
                    <w14:schemeClr w14:val="tx1"/>
                  </w14:solidFill>
                </w14:textFill>
              </w:rPr>
              <w:t>或者以此种饲料、饲料添加剂冒充他种饲料、饲料添加剂的；生产、经营无产品质量标准或者不符合产品质量标准的饲料、饲料添加剂的；生产</w:t>
            </w:r>
            <w:r>
              <w:rPr>
                <w:rFonts w:hint="default" w:ascii="Times New Roman" w:hAnsi="Times New Roman" w:eastAsia="方正仿宋_GBK" w:cs="Times New Roman"/>
                <w:i w:val="0"/>
                <w:iCs w:val="0"/>
                <w:color w:val="000000" w:themeColor="text1"/>
                <w:spacing w:val="-11"/>
                <w:kern w:val="0"/>
                <w:sz w:val="21"/>
                <w:szCs w:val="21"/>
                <w:u w:val="none"/>
                <w:lang w:val="en-US" w:eastAsia="zh-CN" w:bidi="ar"/>
                <w14:textFill>
                  <w14:solidFill>
                    <w14:schemeClr w14:val="tx1"/>
                  </w14:solidFill>
                </w14:textFill>
              </w:rPr>
              <w:t>、经营的饲料、饲料添加剂与标签标示的内容不一致的处罚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11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320217070000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对擅自拆除、迁移、改动城市道路照明设施的处罚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33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320217784000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对擅自在桥梁或者路灯设施上设置广告牌或者其他挂浮物的处罚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31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320217028000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对擅自在城市照明设施上张贴、悬挂、设置宣传品、广告的处罚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22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320217029000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对擅自在城市照明设施上架设线缆、安置其它设施或者接用电源的处罚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320217071000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对在城市照明设施上刻划、涂污的处罚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21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320217689000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6"/>
                <w:sz w:val="21"/>
                <w:szCs w:val="21"/>
                <w:lang w:val="en-US" w:eastAsia="zh-CN" w:bidi="ar"/>
                <w14:textFill>
                  <w14:solidFill>
                    <w14:schemeClr w14:val="tx1"/>
                  </w14:solidFill>
                </w14:textFill>
              </w:rPr>
              <w:t>对损坏城市树木花草行为的处罚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30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320217435000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对擅自占用或者挖掘城市道路的处罚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2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320217663000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对依附于城市道路建设各种管线、杆线等设施，不按照规定办理批准手续的处罚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21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320217020000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对擅自在城市桥梁上架设各类管线、设置广告等辅助物的处罚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0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320217660000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6"/>
                <w:sz w:val="21"/>
                <w:szCs w:val="21"/>
                <w:lang w:val="en-US" w:eastAsia="zh-CN" w:bidi="ar"/>
                <w14:textFill>
                  <w14:solidFill>
                    <w14:schemeClr w14:val="tx1"/>
                  </w14:solidFill>
                </w14:textFill>
              </w:rPr>
              <w:t>对未在城市道路施工现场设置明显标志和安全防围设施的处罚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320217662000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对其他损害、侵占城市道路行为的处罚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320217649000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对擅自砍伐城市树木的处罚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320217682000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6"/>
                <w:sz w:val="21"/>
                <w:szCs w:val="21"/>
                <w:lang w:val="en-US" w:eastAsia="zh-CN" w:bidi="ar"/>
                <w14:textFill>
                  <w14:solidFill>
                    <w14:schemeClr w14:val="tx1"/>
                  </w14:solidFill>
                </w14:textFill>
              </w:rPr>
              <w:t>对损坏城市绿化设施行为的处罚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23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320217696000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对不服从公共绿地管理单位管理的商业、服务摊点的处罚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8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320217681000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对砍伐、擅自迁移古树名木或者因养护不善致使古树名木受到损伤或者死亡行为的处罚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9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320205008000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对违反国家有关规定举办学校或其他教育机构进行处罚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泗洪县教育局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320205035000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对幼儿园未经登记注册，擅自招收幼儿的处罚</w:t>
            </w:r>
          </w:p>
        </w:tc>
        <w:tc>
          <w:tcPr>
            <w:tcW w:w="28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泗洪县教育局</w:t>
            </w:r>
          </w:p>
        </w:tc>
      </w:tr>
    </w:tbl>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ascii="Times New Roman" w:hAnsi="Times New Roman" w:eastAsia="方正楷体_GBK" w:cs="Times New Roman"/>
          <w:b w:val="0"/>
          <w:bCs/>
          <w:color w:val="000000" w:themeColor="text1"/>
          <w:kern w:val="2"/>
          <w:sz w:val="28"/>
          <w:szCs w:val="28"/>
          <w:lang w:val="en-US" w:eastAsia="zh-CN" w:bidi="ar-SA"/>
          <w14:textFill>
            <w14:solidFill>
              <w14:schemeClr w14:val="tx1"/>
            </w14:solidFill>
          </w14:textFill>
        </w:rPr>
      </w:pPr>
      <w:r>
        <w:rPr>
          <w:rFonts w:hint="default" w:ascii="Times New Roman" w:hAnsi="Times New Roman" w:eastAsia="方正楷体_GBK" w:cs="Times New Roman"/>
          <w:b w:val="0"/>
          <w:bCs/>
          <w:color w:val="000000" w:themeColor="text1"/>
          <w:kern w:val="2"/>
          <w:sz w:val="28"/>
          <w:szCs w:val="28"/>
          <w:lang w:val="en-US" w:eastAsia="zh-CN" w:bidi="ar-SA"/>
          <w14:textFill>
            <w14:solidFill>
              <w14:schemeClr w14:val="tx1"/>
            </w14:solidFill>
          </w14:textFill>
        </w:rPr>
        <w:t>（二）双沟镇</w:t>
      </w:r>
      <w:r>
        <w:rPr>
          <w:rFonts w:hint="default" w:ascii="Times New Roman" w:hAnsi="Times New Roman" w:eastAsia="方正楷体_GBK" w:cs="Times New Roman"/>
          <w:b w:val="0"/>
          <w:bCs/>
          <w:color w:val="000000" w:themeColor="text1"/>
          <w:sz w:val="28"/>
          <w:szCs w:val="28"/>
          <w:lang w:val="en-US" w:eastAsia="zh-CN"/>
          <w14:textFill>
            <w14:solidFill>
              <w14:schemeClr w14:val="tx1"/>
            </w14:solidFill>
          </w14:textFill>
        </w:rPr>
        <w:t>收回行政处罚权赋权事项清单</w:t>
      </w:r>
    </w:p>
    <w:tbl>
      <w:tblPr>
        <w:tblStyle w:val="7"/>
        <w:tblW w:w="9314" w:type="dxa"/>
        <w:jc w:val="center"/>
        <w:tblLayout w:type="fixed"/>
        <w:tblCellMar>
          <w:top w:w="0" w:type="dxa"/>
          <w:left w:w="0" w:type="dxa"/>
          <w:bottom w:w="0" w:type="dxa"/>
          <w:right w:w="0" w:type="dxa"/>
        </w:tblCellMar>
      </w:tblPr>
      <w:tblGrid>
        <w:gridCol w:w="624"/>
        <w:gridCol w:w="1474"/>
        <w:gridCol w:w="4365"/>
        <w:gridCol w:w="2851"/>
      </w:tblGrid>
      <w:tr>
        <w:tblPrEx>
          <w:tblCellMar>
            <w:top w:w="0" w:type="dxa"/>
            <w:left w:w="0" w:type="dxa"/>
            <w:bottom w:w="0" w:type="dxa"/>
            <w:right w:w="0" w:type="dxa"/>
          </w:tblCellMar>
        </w:tblPrEx>
        <w:trPr>
          <w:trHeight w:val="567" w:hRule="atLeast"/>
          <w:tblHeader/>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t>序号</w:t>
            </w: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t>基本编码</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t>权力名称</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pPr>
            <w: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t>收回</w:t>
            </w:r>
            <w:r>
              <w:rPr>
                <w:rFonts w:hint="eastAsia" w:ascii="Times New Roman" w:hAnsi="Times New Roman" w:eastAsia="方正黑体_GBK" w:cs="Times New Roman"/>
                <w:color w:val="000000" w:themeColor="text1"/>
                <w:spacing w:val="0"/>
                <w:sz w:val="21"/>
                <w:szCs w:val="21"/>
                <w:lang w:val="en-US" w:eastAsia="zh-CN"/>
                <w14:textFill>
                  <w14:solidFill>
                    <w14:schemeClr w14:val="tx1"/>
                  </w14:solidFill>
                </w14:textFill>
              </w:rPr>
              <w:t>上级</w:t>
            </w:r>
            <w:r>
              <w:rPr>
                <w:rFonts w:hint="default" w:ascii="Times New Roman" w:hAnsi="Times New Roman" w:eastAsia="方正黑体_GBK" w:cs="Times New Roman"/>
                <w:color w:val="000000" w:themeColor="text1"/>
                <w:spacing w:val="0"/>
                <w:sz w:val="21"/>
                <w:szCs w:val="21"/>
                <w:lang w:val="en-US" w:eastAsia="zh-CN"/>
                <w14:textFill>
                  <w14:solidFill>
                    <w14:schemeClr w14:val="tx1"/>
                  </w14:solidFill>
                </w14:textFill>
              </w:rPr>
              <w:t>部门</w:t>
            </w:r>
          </w:p>
        </w:tc>
      </w:tr>
      <w:tr>
        <w:tblPrEx>
          <w:tblCellMar>
            <w:top w:w="0" w:type="dxa"/>
            <w:left w:w="0" w:type="dxa"/>
            <w:bottom w:w="0" w:type="dxa"/>
            <w:right w:w="0" w:type="dxa"/>
          </w:tblCellMar>
        </w:tblPrEx>
        <w:trPr>
          <w:trHeight w:val="38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320217491000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对住宅物业的建设单位未通过招投标的方式选聘物业服务企业或者未经批准，擅自采用协议方式选聘物业服务企业的处罚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14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320217492000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对建设单位擅自处分属于业主的物业共用部位、共用设施设备的所有权或者使用权的处罚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49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320217612000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对物业服务企业将一个物业管理区域内的全部物业管理一并委托给他人的处罚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320217447000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对建设单位在物业管理区域内不按照规定配置必要的物业管理用房的处罚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38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320217613000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对物业服务企业未经业主大会同意擅自改变物业管理用房的用途的处罚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49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320217625000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对擅自改变物业管理区域内按照规划建设的公共建筑和共用设施用途的处罚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47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320217585000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对擅自占用、挖掘物业管理区域内道路、场地，损害业主共同利益的处罚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40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320217586000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对擅自利用物业共用部位、共用设施设备进行经营的处罚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泗洪县综合行政执法局</w:t>
            </w:r>
          </w:p>
        </w:tc>
      </w:tr>
      <w:tr>
        <w:tblPrEx>
          <w:tblCellMar>
            <w:top w:w="0" w:type="dxa"/>
            <w:left w:w="0" w:type="dxa"/>
            <w:bottom w:w="0" w:type="dxa"/>
            <w:right w:w="0" w:type="dxa"/>
          </w:tblCellMar>
        </w:tblPrEx>
        <w:trPr>
          <w:trHeight w:val="57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320215346000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对未经批准或者未按照批准内容进行临时建设，以及对临时建筑物、构筑物超过批准期限不拆除的处罚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泗洪县自然资源和规划局</w:t>
            </w:r>
          </w:p>
        </w:tc>
      </w:tr>
      <w:tr>
        <w:tblPrEx>
          <w:tblCellMar>
            <w:top w:w="0" w:type="dxa"/>
            <w:left w:w="0" w:type="dxa"/>
            <w:bottom w:w="0" w:type="dxa"/>
            <w:right w:w="0" w:type="dxa"/>
          </w:tblCellMar>
        </w:tblPrEx>
        <w:trPr>
          <w:trHeight w:val="23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320223146000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对公共场所卫生管理不符合规定的处罚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51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320223148000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对未获得</w:t>
            </w:r>
            <w:r>
              <w:rPr>
                <w:rStyle w:val="11"/>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w:t>
            </w: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健康合格证</w:t>
            </w:r>
            <w:r>
              <w:rPr>
                <w:rStyle w:val="11"/>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w:t>
            </w: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，而从事直接为顾客服务的处罚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26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320223097000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对公共场所卫生质量不符合卫生标准和要求的处罚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33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320223029000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10"/>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对公用物品和器具不符合国家卫生标准和要求的处罚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20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t>320223089000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10"/>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对从事计划生育技术服务的机构或人员未经批准擅自扩大计划生育技术服务项目的处罚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highlight w:val="none"/>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34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t>320223079000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10"/>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对计划生育技术服务机构或者医疗、保健机构以外的机构或者人员擅自从事计划生育技术服务的处罚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highlight w:val="none"/>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t>320223096000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10"/>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对伪造、变造、买卖计划生育证明及从事计划生育技术服务的机构出具虚假证明文件的处罚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highlight w:val="none"/>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highlight w:val="none"/>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60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320223109000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对公共场所的经营者未查验服务人员的健康合格证明或者允许未取得健康合格证明的人员从事服务工作，未在公共场所内放置安全套或设置安全套发售设施的处罚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30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320223040000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对发生危害健康事</w:t>
            </w: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故未立即采取处置措施，导致危害扩大，或者隐瞒、缓报、谎报的处罚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320223006000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对未取得“卫生许可证”擅自营业的处罚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73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320223065000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kern w:val="0"/>
                <w:sz w:val="21"/>
                <w:szCs w:val="21"/>
                <w:lang w:val="en-US" w:eastAsia="zh-CN" w:bidi="ar-SA"/>
                <w14:textFill>
                  <w14:solidFill>
                    <w14:schemeClr w14:val="tx1"/>
                  </w14:solidFill>
                </w14:textFill>
              </w:rPr>
              <w:t>对非法为他人施行计划生育手术，或者利用超声技术和其他技术手段为他人进行非医学需要的胎儿性别鉴定或选择性别的人工终止妊娠的处罚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i w:val="0"/>
                <w:iCs w:val="0"/>
                <w:color w:val="000000" w:themeColor="text1"/>
                <w:sz w:val="21"/>
                <w:szCs w:val="21"/>
                <w:lang w:val="en-US" w:eastAsia="zh-CN" w:bidi="ar"/>
                <w14:textFill>
                  <w14:solidFill>
                    <w14:schemeClr w14:val="tx1"/>
                  </w14:solidFill>
                </w14:textFill>
              </w:rPr>
              <w:t>泗洪县卫生健康局</w:t>
            </w:r>
          </w:p>
        </w:tc>
      </w:tr>
      <w:tr>
        <w:tblPrEx>
          <w:tblCellMar>
            <w:top w:w="0" w:type="dxa"/>
            <w:left w:w="0" w:type="dxa"/>
            <w:bottom w:w="0" w:type="dxa"/>
            <w:right w:w="0" w:type="dxa"/>
          </w:tblCellMar>
        </w:tblPrEx>
        <w:trPr>
          <w:trHeight w:val="44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320223189000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对建设项目的职业病防护设施设计不符合国家职业卫生标准和卫生要求的处罚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320223190000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未按照规定对职业病防护设施进行职业病危害控制效果评价的处罚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320223192000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对工作场所职业病危害因素检测、评价结果没有存档、上报、公布的处罚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320223221000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对隐瞒技术、工艺、设备、材料所产生的职业病危害而采用的处罚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51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320223223000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对可能发生急性职业损伤的有毒、有害工作场所、放射工作场所或者放射性同位素的运输、贮存不符合规定的处罚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45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320223224000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对使用国家明令禁止使用的可能产生职业病危害的设备或者材料的处罚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31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320223225000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对将产生职业病危害的作业转移给没有职业病防护条件的单位和个人，或者没有职业病防护条件的单位和个人接受产生职业病危害的作业的处罚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320223187000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对未按照规定进行职业病危害预评价的处罚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320223188000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对建设项目的职业病防护设施未按照规定与主体工程同时设计、同时施工、同时投入生产和使用的处罚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32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320223205000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对用人单位未实施由专人负责的职业病危害因素日常监测，或者监测系统不能正常监测的处罚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27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对用人单位工作场所职业病危害因素的强度或者浓度超过国家职业卫生标准的处罚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对用人单位未提供职业病防护设施和个人使用的职业病防护用品，或者提供的职业病防护设施和个人使用的职业病防护用品不符合国家职业卫生标准和卫生要求的处罚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75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对用人单位对职业病防护设备、应急救援设施和个人使用的职业病防护用品未按照规定进行维护、检修、检测，或者不能保持正常运行、使用状态的处罚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16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对用人单位未按照规定对工作场所职业病危害因素进行检测、评价的处罚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68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320223209000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对用人单位工作场所职业病危害因素经治理仍然达不到国家职业卫生标准和卫生要求时未停止存在职业病危害因素的作业的处罚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35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对用人单位未按照规定安排职业病病人、疑似职业病病人进行诊治的处罚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320223226000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对擅自拆除、停止使用职业病防护设备或者应急救援设施的处罚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320223227000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对安排未经职业健康检查的劳动者、有职业禁忌的劳动者、未成年工或者孕期、哺乳期女职工从事接触职业病危害的作业或者禁忌作业的处罚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320223206000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对用人单位订立或者变更劳动合同时，未告知劳动者职业病危害真实情况的处罚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320223207000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对用人单位未按照规定组织职业健康检查、建立职业健康监护档案或者未将检查结果书面告知劳动者的处罚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对用人单位发生或者可能发生急性职业病危害事故时，未立即采取应急救援和控制措施或者未按照规定及时报告的处罚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48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对用人单位未按照规定在产生严重职业病危害的作业岗位醒目位置设置警示标识和中文警示说明的处罚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42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对用人单位拒绝职业卫生监督管理部门监督检查的处罚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50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对用人单位隐瞒、伪造、篡改、毁损职业健康监护档案、工作场所职业病危害因素检测评价结果等相关资料，或者拒不提供职业病诊断、鉴定所需资料的处罚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29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320223219000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对用人单位未按照规定承担职业病诊断、鉴定费用和职业病病人的医疗、生活保障费用的处罚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62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320223220000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对向用人单位提供可能产生职业病危害的设备、材料，未按照规定提供中文说明书或者设置警示标识和中文警示说明的处罚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35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320223198000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对未按照规定公布有关职业病防治的规章制度、操作规程、职业病危害事故应急救援措施的处罚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29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320223080000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对未设置或者指定职业卫生管理机构或者组织，配备专职或者兼职的职业卫生管理人员，负责本单位的职业病防治工作的处罚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泗洪县卫生健康局</w:t>
            </w:r>
          </w:p>
        </w:tc>
      </w:tr>
      <w:tr>
        <w:tblPrEx>
          <w:tblCellMar>
            <w:top w:w="0" w:type="dxa"/>
            <w:left w:w="0" w:type="dxa"/>
            <w:bottom w:w="0" w:type="dxa"/>
            <w:right w:w="0" w:type="dxa"/>
          </w:tblCellMar>
        </w:tblPrEx>
        <w:trPr>
          <w:trHeight w:val="24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320220016000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对未取得生产许可证生产饲料、饲料添加剂的处罚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27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320220105000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jc w:val="both"/>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对生产、销售未取得登记证的肥料产品等行为的行政处罚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64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320220205000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jc w:val="both"/>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对未取得农药经营许可证经营农药；经营假农药；在农药中添加物质；取得农药经营许可证的农药经营者不</w:t>
            </w:r>
            <w:r>
              <w:rPr>
                <w:rFonts w:hint="default" w:ascii="Times New Roman" w:hAnsi="Times New Roman" w:eastAsia="方正仿宋_GBK" w:cs="Times New Roman"/>
                <w:i w:val="0"/>
                <w:iCs w:val="0"/>
                <w:color w:val="000000" w:themeColor="text1"/>
                <w:spacing w:val="-6"/>
                <w:kern w:val="0"/>
                <w:sz w:val="21"/>
                <w:szCs w:val="21"/>
                <w:u w:val="none"/>
                <w:lang w:val="en-US" w:eastAsia="zh-CN" w:bidi="ar"/>
                <w14:textFill>
                  <w14:solidFill>
                    <w14:schemeClr w14:val="tx1"/>
                  </w14:solidFill>
                </w14:textFill>
              </w:rPr>
              <w:t>再符合规定条件继续经营农药的处罚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147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320220085000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jc w:val="both"/>
              <w:textAlignment w:val="center"/>
              <w:rPr>
                <w:rFonts w:hint="default" w:ascii="Times New Roman" w:hAnsi="Times New Roman" w:eastAsia="方正仿宋_GBK"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pacing w:val="-6"/>
                <w:kern w:val="0"/>
                <w:sz w:val="21"/>
                <w:szCs w:val="21"/>
                <w:lang w:val="en-US" w:eastAsia="zh-CN" w:bidi="ar-SA"/>
                <w14:textFill>
                  <w14:solidFill>
                    <w14:schemeClr w14:val="tx1"/>
                  </w14:solidFill>
                </w14:textFill>
              </w:rPr>
              <w:t>对饲料、饲料添加剂生产企业、经营者在生产、经营过程中，以非饲料、非饲料添加剂冒充饲料、饲料添加剂或者以此种饲料、饲料添加剂冒充他种饲料、饲料添加剂的；生产、经营无产品质量标准或者不符合产品质量标准的饲料、饲料添加剂的；生产、经营的饲料、饲料添加剂与标签标示的内容不一致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textAlignment w:val="cente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方正仿宋_GBK" w:cs="Times New Roman"/>
                <w:i w:val="0"/>
                <w:iCs w:val="0"/>
                <w:color w:val="000000" w:themeColor="text1"/>
                <w:kern w:val="0"/>
                <w:sz w:val="21"/>
                <w:szCs w:val="21"/>
                <w:u w:val="none"/>
                <w:lang w:val="en-US" w:eastAsia="zh-CN" w:bidi="ar"/>
                <w14:textFill>
                  <w14:solidFill>
                    <w14:schemeClr w14:val="tx1"/>
                  </w14:solidFill>
                </w14:textFill>
              </w:rPr>
              <w:t>泗洪县农业农村局</w:t>
            </w:r>
          </w:p>
        </w:tc>
      </w:tr>
      <w:tr>
        <w:tblPrEx>
          <w:tblCellMar>
            <w:top w:w="0" w:type="dxa"/>
            <w:left w:w="0" w:type="dxa"/>
            <w:bottom w:w="0" w:type="dxa"/>
            <w:right w:w="0" w:type="dxa"/>
          </w:tblCellMar>
        </w:tblPrEx>
        <w:trPr>
          <w:trHeight w:val="41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320220033000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使用农药或者其他有毒有害物质捕捞、捕猎的；违规使用生长调节剂的；收获、屠宰、捕捞未达到安全间隔期或者休药期的农产品的；在特定农产品禁止生产区生产禁止生产的农产品的；使用危害人体健康的物品对农产品进行清洗、整理、保鲜、包装或者储运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20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320220141000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对养殖者对外提供自行配制的饲料的处罚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47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320220354000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i w:val="0"/>
                <w:iCs w:val="0"/>
                <w:color w:val="000000" w:themeColor="text1"/>
                <w:spacing w:val="-6"/>
                <w:kern w:val="0"/>
                <w:sz w:val="21"/>
                <w:szCs w:val="21"/>
                <w:highlight w:val="none"/>
                <w:u w:val="none"/>
                <w:lang w:val="en-US" w:eastAsia="zh-CN" w:bidi="ar"/>
                <w14:textFill>
                  <w14:solidFill>
                    <w14:schemeClr w14:val="tx1"/>
                  </w14:solidFill>
                </w14:textFill>
              </w:rPr>
              <w:t>对委托未取得农药生产许可证的受委托人加工、分装农药，或者委托生产、加工劣质农药的处罚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77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320220187000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对农产品生产企业、农民专业合作经济组织以及从事农产品收购的单位或者个人销售的农产品未按照规定包装、标识的处罚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54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320220097000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农产品生产场所以及生产活动中使用的设施、设备、消毒剂、洗涤剂等不符合国家有关质量安全规定；未按照国家有关强制性标准或者其他农产品质量安全规定使用保鲜剂、防腐剂、添加剂、包装材料等，或者使用的保鲜剂、防腐剂、添加剂、包装材料等不符合国家有关强制性标准或者其他质量安全规定；将农产品与有毒有害物质一同储存、运输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320220137000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对农产品生产经营者冒用农产品质量标志，或者销售冒用农产品质量标志的农产品的处罚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9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320220087000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对伪造、冒用、转让、买卖无公害农产品产地认定证书、产品认证证书和标志的处罚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320220198000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对提供虚假的资料、样品或者采取其他欺骗手段取得兽药生产许可证、兽药经营许可证或者兽药批准证明文件的处罚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38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320220156000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对境外企业在中国直接销售兽药的处罚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87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320220203000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对销售尚在用药期、休药期内的动物及其产品用于食品消费的，或者销售含有违禁药物和兽药残留超标的动物产品用于食品消费的处罚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69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320220060000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11"/>
                <w:sz w:val="21"/>
                <w:szCs w:val="21"/>
                <w14:textFill>
                  <w14:solidFill>
                    <w14:schemeClr w14:val="tx1"/>
                  </w14:solidFill>
                </w14:textFill>
              </w:rPr>
              <w:t>对擅自转移、使用、销毁、销售被查封或者扣押的兽药及有关材料的处罚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0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320220125000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对兽药生产企业、经营企业、兽药使用单位和开具处方的兽医人员不按规定报告兽药严重不良反应等行为的处罚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69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320220078000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对未经兽医开具处方销售、购买、使用兽用处方药的处罚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69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320220117000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对兽药生产、经营企业把原料药销售给兽药生产企业以外的单位和个人等行为的处罚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85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320220071000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对兽药的标签和说明书未经批准；兽药包装上未附有标签和说明书或者标签和说明书与批准的内容不一致的行政处罚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56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320220103000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对已经取得生产许可证，但不再具备规定条件而继续生产饲料、饲料添加剂的处罚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69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320220157000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对已经取得生产许可证，但未取得产品批准文号而生产饲料添加剂、添加剂预混合饲料的处罚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2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320220058000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w:t>
            </w:r>
            <w:r>
              <w:rPr>
                <w:rFonts w:hint="default" w:ascii="Times New Roman" w:hAnsi="Times New Roman" w:eastAsia="方正仿宋_GBK" w:cs="Times New Roman"/>
                <w:color w:val="000000" w:themeColor="text1"/>
                <w:spacing w:val="-6"/>
                <w:sz w:val="21"/>
                <w:szCs w:val="21"/>
                <w14:textFill>
                  <w14:solidFill>
                    <w14:schemeClr w14:val="tx1"/>
                  </w14:solidFill>
                </w14:textFill>
              </w:rPr>
              <w:t>饲料、饲料添加剂生产企业不依照条例规定实行采购、生产、销售记录制</w:t>
            </w:r>
            <w:r>
              <w:rPr>
                <w:rFonts w:hint="default" w:ascii="Times New Roman" w:hAnsi="Times New Roman" w:eastAsia="方正仿宋_GBK" w:cs="Times New Roman"/>
                <w:color w:val="000000" w:themeColor="text1"/>
                <w:sz w:val="21"/>
                <w:szCs w:val="21"/>
                <w14:textFill>
                  <w14:solidFill>
                    <w14:schemeClr w14:val="tx1"/>
                  </w14:solidFill>
                </w14:textFill>
              </w:rPr>
              <w:t>度或者产品留样观察制度的处罚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01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320220199000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对饲料、饲料添加剂生产企业销售的饲料、饲料添加剂未附具产品质量检验合格证或者包装、标签不符合规定的处罚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41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320220100000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不符合规定条件经营饲料、饲料添加剂的处罚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320220145000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6"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对饲料、饲料添加剂经营者对饲料、饲料添加剂进行拆包、分装的；不依照本条例规定实行产品购销台账制度的；经营的饲料、饲料添加剂失效、霉变或者超过保质期的处罚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39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320220104000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对未取得生鲜乳收购许可证收购生鲜乳的；生鲜乳收购站取得生鲜乳收购许可证后，不再符合许可条件继续从事生鲜乳收购的；生鲜乳收购站收购本条例第二十四条规定禁止收购的生鲜乳的处罚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49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320220045000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对饲料和饲料添加剂生产企业发现问题产品不主动召回的处罚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320220115000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对买卖、出租、出借兽药生产许可证、兽药经营许可证和兽药批准证明文件的处罚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41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320220089000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农产品批发市场没有设立或者委托农产品质量安全检测机构，对进场销售的农产品质量安全状况进行抽查检测；发现不符合农产品质量安全标准的，没有要求销售者立即停止销售，并向农业行政主管部门报告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320320007000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农产品生产企业、农民专业合作经济组织销售含有国家禁止使用的农药、兽药或者其他化学物质的农产品；销售农药、兽药等化学物质残留或者含有的重金属等有毒有害物质不符合农产品质量安全标准的农产品；销售含有的致病性寄生虫、微生物或者生物毒素不符合农产品质量安全标准的农产品；销售其他不符合农产品质量安全标准的农产品进行无害化处理</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63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320220353000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对农药生产企业生产劣质农药的处罚；对未取得农药生产许可证生产农药，或者生产假农药的处罚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320220114000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对农药经营者经营劣质农药的处罚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37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320220113000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对未取得农药生产许可证生产农药，或者生产假农药的处罚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8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320220168000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对生产经营者不再符合法定条件、要求，继续从事生产经营活动的处罚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253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320220176000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4"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饲料、饲料添加剂经营者对饲料、饲料添加剂进行再加工或者添加物质的；经营无产品标签、无生产许可证、无产品质量检验合格证的饲料、饲料添加剂的；经营无产品批准文号的饲料添加剂、添加剂预混合饲料的；经营用国务院农业行政主管部门公布的饲料原料目录、饲料添加剂品种目录和药物饲料添加剂品种目录以外的物质生产的饲料的；经营未取得新饲料、新饲料添加剂证书的新饲料、新饲料添加剂或者未取得饲料、饲料添加剂进口登记证的进口饲料、进口饲料添加剂以及禁用的饲料、饲料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6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320220197000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饲料、饲料添加剂生产企业不按照国务院农业行政主管部门的规定和有关标准对采购的饲料原料、单一饲料、饲料添加剂、药物饲料添加剂、添加剂预混合饲料和用于饲料添加剂生产的原料进行查验或者检验的；饲料、饲料添加剂生产过程中不遵守国务院农业行政主管部门制定的饲料、饲料添加剂质量安全管理规范和饲料添加剂安全使用规范的；生产的饲料、饲料添加剂未经产品质量检验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58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320220070000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饲料、饲料添加剂生产企业使用限制使用的饲料原料、单一饲料、饲料添加剂、药物饲料添加剂、添加剂预混合饲料生产饲料，不遵守国务院农业行政主管部门的限制性规定；使用国务院农业行政主管部门公布的饲料原料目录、饲料添加剂品种目录和药物饲料添加剂品种目录以外的物质生产饲料的；生产未取得新饲料、新饲料添加剂证书的新饲料、新饲料添加剂或者禁用的饲料、饲料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67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320220039000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对未按照国家有关兽药安全使用规定使用兽药的、未建立用药记录或者记录不完整真实的，或者使用禁止使用的药品和其他化合物的，或者将人用药品用于动物的处罚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320220196000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pacing w:val="6"/>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对无兽药生产许可证、兽药经营许可证生产、经营兽药的，或者虽有兽药生产许可证、兽药经营许可证，生产、经营假、劣兽药的，或者兽药经营企业经营人用药品的；擅自生产强制免疫所需兽用生物制品的处罚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417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320220144000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养殖者使用未取得新饲料、新饲料添加剂证书的新饲料、新饲料添加剂或者未取得饲料、饲料添加剂进口登记证的进口饲料、进口饲料添加剂的；使用无产品标签、无生产许可证、无产品质量标准、无产品质量检验合格证的饲料、饲料添加剂的；使用无产品批准文号的饲料添加剂、添加剂预混合饲料的；在饲料或者动物饮用水中添加饲料添加剂，不遵守国务院农业行政主管部门制定的饲料添加剂安全使用规范的；使用自行配制的饲料，不遵守国务院农业行政主管部门制定的自行配制饲料使用规范的；使用限制使用的物质养殖动物，不遵守国务院农业行政主管部门的限制性规定的；在反刍动物饲料中添加乳和乳制品以外的动物源性成分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22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320220084000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对在饲料和动物饮用水中添加激素类药品和国务院兽医行政管理部门规定的其他禁用药品；直接将原料药添加到饲料及动物饮用水中，或者饲喂动物的处罚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121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320220120000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对在饲料或者动物饮用水中添加国务院农业行政主管部门公布禁用的物质以及对人体具有直接或者潜在危害的其他物质，或者直接使用上述物质养殖动物的处罚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泗洪县农业农村局</w:t>
            </w:r>
          </w:p>
        </w:tc>
      </w:tr>
      <w:tr>
        <w:tblPrEx>
          <w:tblCellMar>
            <w:top w:w="0" w:type="dxa"/>
            <w:left w:w="0" w:type="dxa"/>
            <w:bottom w:w="0" w:type="dxa"/>
            <w:right w:w="0" w:type="dxa"/>
          </w:tblCellMar>
        </w:tblPrEx>
        <w:trPr>
          <w:trHeight w:val="81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320216154000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对未经水行政主管部门或者流域管理机构审查同意，擅自在江河、湖泊新建、改建或者扩大排污口的处罚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lang w:eastAsia="zh-CN"/>
                <w14:textFill>
                  <w14:solidFill>
                    <w14:schemeClr w14:val="tx1"/>
                  </w14:solidFill>
                </w14:textFill>
              </w:rPr>
              <w:t>宿迁市</w:t>
            </w:r>
            <w:r>
              <w:rPr>
                <w:rFonts w:hint="default" w:ascii="Times New Roman" w:hAnsi="Times New Roman" w:eastAsia="方正仿宋_GBK" w:cs="Times New Roman"/>
                <w:color w:val="000000" w:themeColor="text1"/>
                <w:sz w:val="21"/>
                <w:szCs w:val="21"/>
                <w:highlight w:val="none"/>
                <w14:textFill>
                  <w14:solidFill>
                    <w14:schemeClr w14:val="tx1"/>
                  </w14:solidFill>
                </w14:textFill>
              </w:rPr>
              <w:t>生态环境局</w:t>
            </w:r>
          </w:p>
        </w:tc>
      </w:tr>
      <w:tr>
        <w:tblPrEx>
          <w:tblCellMar>
            <w:top w:w="0" w:type="dxa"/>
            <w:left w:w="0" w:type="dxa"/>
            <w:bottom w:w="0" w:type="dxa"/>
            <w:right w:w="0" w:type="dxa"/>
          </w:tblCellMar>
        </w:tblPrEx>
        <w:trPr>
          <w:trHeight w:val="25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320231686000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对用超过保质期的食品原料、食品添加剂生产食品、食品添加剂，或者经营上述食品、食品添加剂的处罚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8" w:lineRule="exact"/>
              <w:ind w:left="66" w:leftChars="30" w:right="66" w:rightChars="30" w:firstLine="0"/>
              <w:jc w:val="center"/>
              <w:textAlignment w:val="auto"/>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91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320231704000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对餐具、饮具和盛放直接入口食品的容器，使用前未经洗净、消毒或者清洗消毒不合格，或者餐饮服务设施、设备未按规定定期维护、清洗、校验的处罚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3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320231676000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对未取得食品生产经营许可从事食品生产经营活动，或者未取得食品添加剂生产许可从事食品添加剂生产活动的处罚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66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320231681000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对经营未按规定进行检疫或者检疫不合</w:t>
            </w:r>
            <w:r>
              <w:rPr>
                <w:rFonts w:hint="default" w:ascii="Times New Roman" w:hAnsi="Times New Roman" w:eastAsia="方正仿宋_GBK" w:cs="Times New Roman"/>
                <w:color w:val="000000" w:themeColor="text1"/>
                <w:spacing w:val="-6"/>
                <w:sz w:val="21"/>
                <w:szCs w:val="21"/>
                <w14:textFill>
                  <w14:solidFill>
                    <w14:schemeClr w14:val="tx1"/>
                  </w14:solidFill>
                </w14:textFill>
              </w:rPr>
              <w:t>格的肉类，或者生产经营未经检验或者检验不合格肉类制品的处罚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0"/>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320272044000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lang w:eastAsia="zh-CN"/>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药品的生产企业、经营企业、药物非临床安全性评价研究机构、药物临床试验机构未按规定实施药品生产质量管理规范、药品经营质量管理规范、药物临床试验质量管理规范、药物非临床研究质量管理规范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65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320272040000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对未取得《药品生产许可证》《药品经营许可证》或者《医疗机构制剂许可证》生产、销售药品、配制制剂的处罚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8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320231737000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对食品生产经营者不立即停止生产经营、不主动召回、不按规定时限启动召回、不按照召回计划召回不安全食品或者不按照规定处置不安全食品的处罚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46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320231685000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对生产经营致病性微生物，农药残留、兽药残留、生物毒素、重金属等污染物质以及其他危害人体健康的物质含量超过食品安全标准限量的食品、食品添加剂的处罚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320231670000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对食品等产品销售者未建立并执行进货检查验收制度的处罚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54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320231712000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对食品生产企业、餐饮服务提供者未按规定制定、实施生产经营过程控制要求的处罚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320231705000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对食品生产经营者安排未取得健康证明或者患有国务院卫生行政部门规定的有碍食品安全疾病的人员从事接触直接入口食品的工作的处罚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8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320231678000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对用非食品原料生产食品、在食品中添加食品添加剂以外的化学物质和其他可能危害人体健康的物质，或者用回收食品作为原料生产食品，或者经营上述食品的处罚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14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320231231000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对无照经营行为的处罚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25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320231622000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对违法使用原料、辅料、添加剂、农业投入品的处罚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92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320231729000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对生鲜乳收购者、乳制品生产企业在生鲜乳收购、乳制品生产过程中，加入非食品用化学物质或者其他可能危害人体健康的物质的处罚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45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320272217000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对非法收购药品的处罚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11"/>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3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320231680000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对经营病死、毒死或者死因不明的禽、畜、兽、水产动物肉类，或者生产经营其制品的处罚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50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320231688000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对生产经营腐败变质、油脂酸败、霉变生虫、污秽不洁、混有异物、掺假掺杂或者感官性状异常的食品、食品添加剂的处罚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2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320231682000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pacing w:val="-6"/>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对生产经营国家为防病等特殊需要明令禁止生产经营的食品的处罚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14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320231683000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pacing w:val="-6"/>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对生产经营添加药品的食品的处罚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57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320231696000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对生产经营无标签的预包装食品、食品添加剂或者标签、说明书不符合本法规定的食品、食品添加剂的处罚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7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320231679000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对生产经营营养成分不符合食品安全标准的专供婴幼儿和其他特定人群主辅食品的处罚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2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320231723000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对食品生产经营者聘用人员违反《食品安全法》第一百三十五条规定的处罚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2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320231714000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对事故单位在发生食品安全事故后未进行处置、报告的处罚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320231718000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对未按要求进行食品贮存、运输和装卸的处罚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24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320272113000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对药品生产、经营企业在经药品监督管理部门核准的地址以外的场所现货销售药品的处罚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11"/>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35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320231577000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对依法应当取得许可证照而未取得许可证照从事生产经营活动的处罚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19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320231666000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shd w:val="clear" w:color="auto" w:fill="auto"/>
                <w14:textFill>
                  <w14:solidFill>
                    <w14:schemeClr w14:val="tx1"/>
                  </w14:solidFill>
                </w14:textFill>
              </w:rPr>
              <w:t>对不按照法定条件、要求从事生产经营活动或者生产、销售不符合法定要求食品等产品的处罚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pacing w:val="-11"/>
                <w:sz w:val="21"/>
                <w:szCs w:val="21"/>
                <w14:textFill>
                  <w14:solidFill>
                    <w14:schemeClr w14:val="tx1"/>
                  </w14:solidFill>
                </w14:textFill>
              </w:rPr>
            </w:pPr>
            <w:r>
              <w:rPr>
                <w:rFonts w:hint="default" w:ascii="Times New Roman" w:hAnsi="Times New Roman" w:eastAsia="方正仿宋_GBK" w:cs="Times New Roman"/>
                <w:color w:val="000000" w:themeColor="text1"/>
                <w:spacing w:val="0"/>
                <w:sz w:val="21"/>
                <w:szCs w:val="21"/>
                <w:lang w:eastAsia="zh-CN"/>
                <w14:textFill>
                  <w14:solidFill>
                    <w14:schemeClr w14:val="tx1"/>
                  </w14:solidFill>
                </w14:textFill>
              </w:rPr>
              <w:t>泗洪县市场监督管理局</w:t>
            </w:r>
          </w:p>
        </w:tc>
      </w:tr>
      <w:tr>
        <w:tblPrEx>
          <w:tblCellMar>
            <w:top w:w="0" w:type="dxa"/>
            <w:left w:w="0" w:type="dxa"/>
            <w:bottom w:w="0" w:type="dxa"/>
            <w:right w:w="0" w:type="dxa"/>
          </w:tblCellMar>
        </w:tblPrEx>
        <w:trPr>
          <w:trHeight w:val="22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320219010000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对在禁止开垦坡度以上陡坡地开垦种植农作物，或者在禁止开垦、开发的植物保护带内开垦、开发的处罚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泗洪县水利局</w:t>
            </w:r>
          </w:p>
        </w:tc>
      </w:tr>
      <w:tr>
        <w:tblPrEx>
          <w:tblCellMar>
            <w:top w:w="0" w:type="dxa"/>
            <w:left w:w="0" w:type="dxa"/>
            <w:bottom w:w="0" w:type="dxa"/>
            <w:right w:w="0" w:type="dxa"/>
          </w:tblCellMar>
        </w:tblPrEx>
        <w:trPr>
          <w:trHeight w:val="26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320219105000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对水土保持设施未经验收或者验收不合格将生产建设项目投产使用的处罚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泗洪县水利局</w:t>
            </w:r>
          </w:p>
        </w:tc>
      </w:tr>
      <w:tr>
        <w:tblPrEx>
          <w:tblCellMar>
            <w:top w:w="0" w:type="dxa"/>
            <w:left w:w="0" w:type="dxa"/>
            <w:bottom w:w="0" w:type="dxa"/>
            <w:right w:w="0" w:type="dxa"/>
          </w:tblCellMar>
        </w:tblPrEx>
        <w:trPr>
          <w:trHeight w:val="45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320219077000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对未按照规划治导线整治河道和修建控制引导河水流向、保护堤岸等工程的处罚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泗洪县水利局</w:t>
            </w:r>
          </w:p>
        </w:tc>
      </w:tr>
      <w:tr>
        <w:tblPrEx>
          <w:tblCellMar>
            <w:top w:w="0" w:type="dxa"/>
            <w:left w:w="0" w:type="dxa"/>
            <w:bottom w:w="0" w:type="dxa"/>
            <w:right w:w="0" w:type="dxa"/>
          </w:tblCellMar>
        </w:tblPrEx>
        <w:trPr>
          <w:trHeight w:val="95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320219058000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对不按照规定报送年度取水情况；拒绝接受监督检查或者弄虚作假；退水水质达不到规定要求的处罚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泗洪县水利局</w:t>
            </w:r>
          </w:p>
        </w:tc>
      </w:tr>
      <w:tr>
        <w:tblPrEx>
          <w:tblCellMar>
            <w:top w:w="0" w:type="dxa"/>
            <w:left w:w="0" w:type="dxa"/>
            <w:bottom w:w="0" w:type="dxa"/>
            <w:right w:w="0" w:type="dxa"/>
          </w:tblCellMar>
        </w:tblPrEx>
        <w:trPr>
          <w:trHeight w:val="67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320209854000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firstLineChars="0"/>
              <w:jc w:val="both"/>
              <w:textAlignment w:val="auto"/>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对易制毒化学品的产品包装和使用说明书不符合规定要求的处罚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rPr>
                <w:rFonts w:hint="default" w:ascii="Times New Roman" w:hAnsi="Times New Roman" w:eastAsia="方正仿宋_GBK"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lang w:val="en-US"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148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320225143000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对危险物品的容器、运输工具以及涉及人身安全、危险性较大的海洋石油开采特种设备和矿山井下特种设备未经具有专业资质的机构检测、检验合格，取得安全使用证或者安全标志，投入使用的处罚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64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320225191000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对安全培训机构未建立培训档案或者培训档案管理不规范的处罚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22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320225068000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对矿山、金属冶炼建设项目或者用于生产、储存危险物品的建设项目竣工投入生产或者使用前，安全设施未经验收合格的处罚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320225255000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对将易制毒化学品许可证或者备案证明转借他人使用的处罚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10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320225096000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对建设项目安全设施设计未组织审查，并形成书面审查报告的处罚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24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320225135000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6"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对建设项目施工单位未按照安全设施设计施工的处罚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40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320225100000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对矿山、金属冶炼建设项目或者用于生产、储存、装卸危险物品的建设项目没有安全设施设计或者安全设施设计未按照规定报经有关部门审查同意的处罚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371"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320225129000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对矿山、金属冶炼建设项目或者用于生产、储存、装卸危险物品的建设项目的施工单位未按照批准的安全设施设计施工的处罚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67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320225315000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对危险化学品生产企业发现其生产的危险化学品有新的危险特性不立即公告，或者不及时修订其化学品安全技术说明书和化学品安全标签的处罚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320225290000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对生产经营单位使用应当淘汰的危及生产安全的工艺、设备的处罚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48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320225169000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对生产经营单位及其主要负责人或者其他人员违反操作规程或者安全管理规定作业的处罚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31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320225241000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w:t>
            </w:r>
            <w:r>
              <w:rPr>
                <w:rFonts w:hint="default" w:ascii="Times New Roman" w:hAnsi="Times New Roman" w:eastAsia="方正仿宋_GBK" w:cs="Times New Roman"/>
                <w:color w:val="000000" w:themeColor="text1"/>
                <w:spacing w:val="-6"/>
                <w:sz w:val="21"/>
                <w:szCs w:val="21"/>
                <w14:textFill>
                  <w14:solidFill>
                    <w14:schemeClr w14:val="tx1"/>
                  </w14:solidFill>
                </w14:textFill>
              </w:rPr>
              <w:t>产经营单位及其主要负责人或者其他人员违章指挥从业人员或者强令从业人员违</w:t>
            </w:r>
            <w:r>
              <w:rPr>
                <w:rFonts w:hint="default" w:ascii="Times New Roman" w:hAnsi="Times New Roman" w:eastAsia="方正仿宋_GBK" w:cs="Times New Roman"/>
                <w:color w:val="000000" w:themeColor="text1"/>
                <w:sz w:val="21"/>
                <w:szCs w:val="21"/>
                <w14:textFill>
                  <w14:solidFill>
                    <w14:schemeClr w14:val="tx1"/>
                  </w14:solidFill>
                </w14:textFill>
              </w:rPr>
              <w:t>章、冒险作业的处罚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41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320225055000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对生产经营单位及其主要负责人或者其他人员发现从业人员违章作业不加制止的处罚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25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320225278000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对生产经营单位及其主要负责人或者其他人员超过核定的生产能力、强度或者定员进行生产的处罚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69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320225142000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对生产经营单位及其主要负责人或其他人员对被查封或者扣押的设施、设备、器材、危险物品和作业场所，擅自启封或者使用的处罚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320225136000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对生产经营单位未对安全设备进行经常性维护、保养和定期检测的处罚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64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320225243000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对未经许可经营、超许可范围经营、许可证过期继续经营烟花爆竹的处罚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21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320225075000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对烟花爆竹零售经营者销售非法生产、经营的烟花爆竹的处罚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8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320225106000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对生产经营单位及其主要负责人或者其他人员故意提供虚假情况或者隐瞒存在的事故隐患以及其他安全问题的处罚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320225213000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对生产经营单位未采取措施消除事故隐患的处罚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320225271000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对生产经营单位未为从业人员提供符合国家标准或者行业标准的劳动防护用品的处罚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320225321000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对重点生产经营单位的主要负责人和安全生产管理人员未按照规定经考核合格的处罚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20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320225154000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对生产经营单位未按照规定对从业人员、被派遣劳动者、实习学生进行安全生产教育和培训，或者未按照规定如实告知有关的安全生产事项的处罚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320225314000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对生产经营单位特种作业人员未按照规定经专门的安全作业培训并取得相应资格，上岗作业的处罚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31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320225197000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对生产经营单位未在有较大危险因素的生产经营场所和有关设施、设备上设置明显的安全警示标志的处罚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72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320225111000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对生产经营单位及其主要负责人或者其他人员拒不执行安全监管监察部门依法下达的安全监管监察指令的处罚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21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320225102000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对生产经营单位安全设备的安装、使用、检测、改造和报废不符合国家标准或者行业标准的处罚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320225070000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对生产经营单位重大事故隐患不报或者未及时报告的处罚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667"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320225084000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对生产经营单位将生产经营项目、场所、设备发包或者出租给不具备安全生产条件或者相应资质的单位或者个人的处罚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439"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320225219000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对生产经营单位未对事故隐患进行排查治理擅自生产经营的处罚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60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320225218000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对生产经营单位整改不合格或者未经安全监管监察部门审查同意擅自恢复生产经营的处罚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59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320225302000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对生产经营单位与从业人员订立协议，免除或者减轻其对从业人员因生产安全事故伤亡依法应承担的责任的处罚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45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320225273000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textAlignment w:val="auto"/>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对生产经营单位未按照规定设置安全生产管理机构或者配备安全生产管理人员的处罚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19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320225260000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对未取得危险化学品经营许可证从事危险化学品经营的处罚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124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320225313000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对生产、储存、使用危险化学品的单位未将危险化学品储存在专用仓库内，或</w:t>
            </w:r>
            <w:r>
              <w:rPr>
                <w:rFonts w:hint="default" w:ascii="Times New Roman" w:hAnsi="Times New Roman" w:eastAsia="方正仿宋_GBK" w:cs="Times New Roman"/>
                <w:color w:val="000000" w:themeColor="text1"/>
                <w:spacing w:val="-6"/>
                <w:sz w:val="21"/>
                <w:szCs w:val="21"/>
                <w:lang w:eastAsia="zh-CN"/>
                <w14:textFill>
                  <w14:solidFill>
                    <w14:schemeClr w14:val="tx1"/>
                  </w14:solidFill>
                </w14:textFill>
              </w:rPr>
              <w:t>者未将剧毒化学品以及储存数量构成重大危险源的其他危险化学品在专用</w:t>
            </w:r>
            <w:r>
              <w:rPr>
                <w:rFonts w:hint="default" w:ascii="Times New Roman" w:hAnsi="Times New Roman" w:eastAsia="方正仿宋_GBK" w:cs="Times New Roman"/>
                <w:color w:val="000000" w:themeColor="text1"/>
                <w:sz w:val="21"/>
                <w:szCs w:val="21"/>
                <w14:textFill>
                  <w14:solidFill>
                    <w14:schemeClr w14:val="tx1"/>
                  </w14:solidFill>
                </w14:textFill>
              </w:rPr>
              <w:t>仓库内单独存放的处罚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15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320225208000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对生产、储存、使用危险化学品的单位危险化学品专用仓库不符合国家标准、行业标准的要求的处罚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320225147000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对未经安全条件审查，新建、改建、扩建生产、储存危险化学品的建设项目的处罚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18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320225203000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对生产、经营、使用国家禁止生产、经营、使用的危险化学品的处罚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320225050000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对生产、储存、使用危险化学品的单位对重复使用的危险化学品包装物、容器，在重复使用前不进行检查的处罚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51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320225199000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对危险化学品生产企业未提供化学品安</w:t>
            </w:r>
            <w:r>
              <w:rPr>
                <w:rFonts w:hint="default" w:ascii="Times New Roman" w:hAnsi="Times New Roman" w:eastAsia="方正仿宋_GBK" w:cs="Times New Roman"/>
                <w:color w:val="000000" w:themeColor="text1"/>
                <w:sz w:val="21"/>
                <w:szCs w:val="21"/>
                <w:highlight w:val="none"/>
                <w14:textFill>
                  <w14:solidFill>
                    <w14:schemeClr w14:val="tx1"/>
                  </w14:solidFill>
                </w14:textFill>
              </w:rPr>
              <w:t>全技术说明书，或者未在包装上粘贴、拴挂化学品安全标签的处</w:t>
            </w:r>
            <w:r>
              <w:rPr>
                <w:rFonts w:hint="default" w:ascii="Times New Roman" w:hAnsi="Times New Roman" w:eastAsia="方正仿宋_GBK" w:cs="Times New Roman"/>
                <w:color w:val="000000" w:themeColor="text1"/>
                <w:sz w:val="21"/>
                <w:szCs w:val="21"/>
                <w14:textFill>
                  <w14:solidFill>
                    <w14:schemeClr w14:val="tx1"/>
                  </w14:solidFill>
                </w14:textFill>
              </w:rPr>
              <w:t>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3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320225115000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pacing w:val="-6"/>
                <w:sz w:val="21"/>
                <w:szCs w:val="21"/>
                <w14:textFill>
                  <w14:solidFill>
                    <w14:schemeClr w14:val="tx1"/>
                  </w14:solidFill>
                </w14:textFill>
              </w:rPr>
              <w:t>对危险化学品经营企业经营没有化学品安全技术说明书和化学品安全标签的危险化学品的处罚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lang w:eastAsia="zh-CN"/>
                <w14:textFill>
                  <w14:solidFill>
                    <w14:schemeClr w14:val="tx1"/>
                  </w14:solidFill>
                </w14:textFill>
              </w:rPr>
              <w:t>泗洪县应急管理局</w:t>
            </w:r>
          </w:p>
        </w:tc>
      </w:tr>
      <w:tr>
        <w:tblPrEx>
          <w:tblCellMar>
            <w:top w:w="0" w:type="dxa"/>
            <w:left w:w="0" w:type="dxa"/>
            <w:bottom w:w="0" w:type="dxa"/>
            <w:right w:w="0" w:type="dxa"/>
          </w:tblCellMar>
        </w:tblPrEx>
        <w:trPr>
          <w:trHeight w:val="46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320217602000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both"/>
              <w:rPr>
                <w:rFonts w:hint="default" w:ascii="Times New Roman" w:hAnsi="Times New Roman" w:eastAsia="方正仿宋_GBK" w:cs="Times New Roman"/>
                <w:color w:val="000000" w:themeColor="text1"/>
                <w:sz w:val="21"/>
                <w:szCs w:val="21"/>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对履带车、铁轮车或者超重、超高、超长车辆擅自在城市道路上行驶的处罚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jc w:val="center"/>
              <w:rPr>
                <w:rFonts w:hint="default" w:ascii="Times New Roman" w:hAnsi="Times New Roman" w:eastAsia="方正仿宋_GBK" w:cs="Times New Roman"/>
                <w:color w:val="000000" w:themeColor="text1"/>
                <w:sz w:val="21"/>
                <w:szCs w:val="21"/>
                <w14:textFill>
                  <w14:solidFill>
                    <w14:schemeClr w14:val="tx1"/>
                  </w14:solidFill>
                </w14:textFill>
              </w:rPr>
            </w:pPr>
            <w:r>
              <w:rPr>
                <w:rStyle w:val="9"/>
                <w:rFonts w:hint="default" w:ascii="Times New Roman" w:hAnsi="Times New Roman" w:eastAsia="方正仿宋_GBK" w:cs="Times New Roman"/>
                <w:color w:val="000000" w:themeColor="text1"/>
                <w:spacing w:val="-11"/>
                <w:kern w:val="2"/>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8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320217070000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对擅自拆除、迁移、改动城市道路照明设施的处罚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30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320217784000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对擅自在桥梁或者路灯设施上设置广告牌或者其他挂浮物的处罚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23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320217028000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对擅自在城市照明设施上张贴、悬挂、设置宣传品、广告的处罚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47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320217029000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w:t>
            </w:r>
            <w:r>
              <w:rPr>
                <w:rStyle w:val="9"/>
                <w:rFonts w:hint="default" w:ascii="Times New Roman" w:hAnsi="Times New Roman" w:eastAsia="方正仿宋_GBK" w:cs="Times New Roman"/>
                <w:color w:val="000000" w:themeColor="text1"/>
                <w:spacing w:val="-6"/>
                <w:sz w:val="21"/>
                <w:szCs w:val="21"/>
                <w:lang w:val="en-US" w:eastAsia="zh-CN" w:bidi="ar"/>
                <w14:textFill>
                  <w14:solidFill>
                    <w14:schemeClr w14:val="tx1"/>
                  </w14:solidFill>
                </w14:textFill>
              </w:rPr>
              <w:t>擅自在城市照明设施上架设线缆、安置其它设施或者接用电源的处罚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320217071000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对在城市照明设施上刻划、涂污的处罚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26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320217689000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对损坏城市树木花草行为的处罚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0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320217435000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对擅自占用或者挖掘城市道路的处罚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7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320217663000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对依附于城市道路建设各种管线、杆线等设施，不按照规定办理批准手续的处罚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22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320217020000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对擅自在城市桥梁上架设各类管线、设置广告等辅助物的处罚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320217660000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对未在城市道路施工现场设置明显标志和安全防围设施的处罚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3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320217662000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对其他损害、侵占城市道路行为的处罚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320217649000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对擅自砍伐城市树木的处罚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155"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320217682000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对损坏城市绿化设施行为的处罚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320217696000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对不服从公共绿地管理单位管理的商业、服务摊点的处罚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320217681000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i w:val="0"/>
                <w:iCs w:val="0"/>
                <w:color w:val="000000" w:themeColor="text1"/>
                <w:spacing w:val="-4"/>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对砍伐、擅自迁移古树名木或者因养护不善致使古树名木受到损伤或者死亡行为的处罚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i w:val="0"/>
                <w:iCs w:val="0"/>
                <w:color w:val="000000" w:themeColor="text1"/>
                <w:spacing w:val="-1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11"/>
                <w:sz w:val="21"/>
                <w:szCs w:val="21"/>
                <w:lang w:val="en-US" w:eastAsia="zh-CN" w:bidi="ar"/>
                <w14:textFill>
                  <w14:solidFill>
                    <w14:schemeClr w14:val="tx1"/>
                  </w14:solidFill>
                </w14:textFill>
              </w:rPr>
              <w:t>泗洪县住房和城乡建设局</w:t>
            </w:r>
          </w:p>
        </w:tc>
      </w:tr>
      <w:tr>
        <w:tblPrEx>
          <w:tblCellMar>
            <w:top w:w="0" w:type="dxa"/>
            <w:left w:w="0" w:type="dxa"/>
            <w:bottom w:w="0" w:type="dxa"/>
            <w:right w:w="0" w:type="dxa"/>
          </w:tblCellMar>
        </w:tblPrEx>
        <w:trPr>
          <w:trHeight w:val="61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320219035000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对在河道管理范围内擅自或者未按照批准建设妨碍行洪的建筑物、构筑物，从事影响河势稳定、危害河岸堤防安全和其它妨碍河道行洪的活动处罚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320219118000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对擅自开发利用河道、湖泊、湖荡、海堤和沿海港河管理范围的处罚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320219109000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w:t>
            </w:r>
            <w:r>
              <w:rPr>
                <w:rStyle w:val="9"/>
                <w:rFonts w:hint="default" w:ascii="Times New Roman" w:hAnsi="Times New Roman" w:eastAsia="方正仿宋_GBK" w:cs="Times New Roman"/>
                <w:color w:val="000000" w:themeColor="text1"/>
                <w:spacing w:val="-6"/>
                <w:sz w:val="21"/>
                <w:szCs w:val="21"/>
                <w:lang w:val="en-US" w:eastAsia="zh-CN" w:bidi="ar"/>
                <w14:textFill>
                  <w14:solidFill>
                    <w14:schemeClr w14:val="tx1"/>
                  </w14:solidFill>
                </w14:textFill>
              </w:rPr>
              <w:t>在江河、湖泊、水库、运河、管道内弃置、堆放阻碍行洪的物体和种植阻碍行洪的</w:t>
            </w:r>
            <w:r>
              <w:rPr>
                <w:rFonts w:hint="default" w:ascii="Times New Roman" w:hAnsi="Times New Roman" w:eastAsia="方正仿宋_GBK" w:cs="Times New Roman"/>
                <w:color w:val="000000" w:themeColor="text1"/>
                <w:sz w:val="21"/>
                <w:szCs w:val="21"/>
                <w14:textFill>
                  <w14:solidFill>
                    <w14:schemeClr w14:val="tx1"/>
                  </w14:solidFill>
                </w14:textFill>
              </w:rPr>
              <w:t>林木及高秆作物的处罚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14:textFill>
                  <w14:solidFill>
                    <w14:schemeClr w14:val="tx1"/>
                  </w14:solidFill>
                </w14:textFill>
              </w:rPr>
              <w:t>320219037000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14:textFill>
                  <w14:solidFill>
                    <w14:schemeClr w14:val="tx1"/>
                  </w14:solidFill>
                </w14:textFill>
              </w:rPr>
              <w:t>对不符合入海河口整治规划的围海造地、围湖造地或者未经批准围垦河道的处罚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320219042000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对未经批准或者未按照批准的取水许可规定条件取水的处罚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320219043000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对拒不缴纳、拖延缴纳或者拖欠水资源费的处罚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320219044000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对建设项目的节水设施没有建成或者没有达到国家规定的要求，擅自投入使用的处罚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320219052000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对在水工程保护范围内，从事影响水工程运行和危害水工程安全的爆破、打井、采石、取土等活动的处罚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14:textFill>
                  <w14:solidFill>
                    <w14:schemeClr w14:val="tx1"/>
                  </w14:solidFill>
                </w14:textFill>
              </w:rPr>
              <w:t>320219070000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14:textFill>
                  <w14:solidFill>
                    <w14:schemeClr w14:val="tx1"/>
                  </w14:solidFill>
                </w14:textFill>
              </w:rPr>
              <w:t>对在洪泛区、蓄滞洪区内建设非防洪建设项目，未编制洪水影响评价报告；防洪工程设施未经验收，即将建设项目投入生产或者使用的处罚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320219001000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对依法应当编制水土保持方案的生产建设项</w:t>
            </w:r>
            <w:r>
              <w:rPr>
                <w:rFonts w:hint="default" w:ascii="Times New Roman" w:hAnsi="Times New Roman" w:eastAsia="方正仿宋_GBK" w:cs="Times New Roman"/>
                <w:color w:val="000000" w:themeColor="text1"/>
                <w:spacing w:val="-6"/>
                <w:sz w:val="21"/>
                <w:szCs w:val="21"/>
                <w14:textFill>
                  <w14:solidFill>
                    <w14:schemeClr w14:val="tx1"/>
                  </w14:solidFill>
                </w14:textFill>
              </w:rPr>
              <w:t>目，未编制水土保持方案或者编制的水土保持方案未经批准而开工建设；</w:t>
            </w:r>
            <w:r>
              <w:rPr>
                <w:rFonts w:hint="default" w:ascii="Times New Roman" w:hAnsi="Times New Roman" w:eastAsia="方正仿宋_GBK" w:cs="Times New Roman"/>
                <w:color w:val="000000" w:themeColor="text1"/>
                <w:spacing w:val="-6"/>
                <w:sz w:val="21"/>
                <w:szCs w:val="21"/>
                <w:highlight w:val="none"/>
                <w14:textFill>
                  <w14:solidFill>
                    <w14:schemeClr w14:val="tx1"/>
                  </w14:solidFill>
                </w14:textFill>
              </w:rPr>
              <w:t>生产建设项目的地点、规模发生重大变</w:t>
            </w:r>
            <w:r>
              <w:rPr>
                <w:rFonts w:hint="default" w:ascii="Times New Roman" w:hAnsi="Times New Roman" w:eastAsia="方正仿宋_GBK" w:cs="Times New Roman"/>
                <w:color w:val="000000" w:themeColor="text1"/>
                <w:sz w:val="21"/>
                <w:szCs w:val="21"/>
                <w:highlight w:val="none"/>
                <w14:textFill>
                  <w14:solidFill>
                    <w14:schemeClr w14:val="tx1"/>
                  </w14:solidFill>
                </w14:textFill>
              </w:rPr>
              <w:t>化，未补充、修改水土保持方案或者补充、修改的水土保持方案未经原审批机关批准；水土保持方案实施过程中，未经原审批机关批准，对水土保持措施作出重大变更的处罚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7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320219100000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14:textFill>
                  <w14:solidFill>
                    <w14:schemeClr w14:val="tx1"/>
                  </w14:solidFill>
                </w14:textFill>
              </w:rPr>
              <w:t>对拒不缴纳水土保持补偿费的处罚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262"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320219020000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对未取得取水申请批准文件擅自建设取水工程或者设施的处罚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320219021000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对申请人隐瞒有关情况或者提供虚假材料骗取取水申请批准文件或者取水许可证的处罚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320219048000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对拒不执行审批机关作出的取水量限制决定，或者未经批准擅自转让取水权的处罚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320219059000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highlight w:val="none"/>
                <w14:textFill>
                  <w14:solidFill>
                    <w14:schemeClr w14:val="tx1"/>
                  </w14:solidFill>
                </w14:textFill>
              </w:rPr>
              <w:t>对未安装计量设施；计量设施不合格或者运行不正常；安装的取水计量设施不能正常使用，或者擅自拆除、更换取水计量设施的处罚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320219049000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对伪造、涂改、冒用取水申请批准文件、取水许可证的处罚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88"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320219121000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对取水单位或者个人擅自停止使用节水设施的；擅自停止使用取水计量设施的；不按规定提供取水、退水计量数据的处罚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320219016000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对混合、串通开采地下水的处罚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320219015000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对在地下水禁止开采区内开凿深井；在地下水限制开采区内，擅自增加深井数量的处罚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320219119000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对阻挠防洪方案执行，拒绝拆除在险工险段或影响防洪安全的建筑物及设施的处罚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320219126000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对在湖泊湖荡内圈圩养殖的处罚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320219084000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tabs>
                <w:tab w:val="left" w:pos="2160"/>
              </w:tabs>
              <w:kinsoku/>
              <w:wordWrap/>
              <w:overflowPunct/>
              <w:topLinePunct w:val="0"/>
              <w:autoSpaceDE/>
              <w:autoSpaceDN/>
              <w:bidi w:val="0"/>
              <w:adjustRightInd/>
              <w:snapToGrid/>
              <w:spacing w:before="0" w:beforeAutospacing="0" w:after="0" w:afterAutospacing="0" w:line="250" w:lineRule="exact"/>
              <w:ind w:left="0" w:leftChars="0" w:right="0" w:rightChars="0"/>
              <w:jc w:val="both"/>
              <w:textAlignment w:val="auto"/>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pacing w:val="0"/>
                <w:sz w:val="21"/>
                <w:szCs w:val="21"/>
                <w14:textFill>
                  <w14:solidFill>
                    <w14:schemeClr w14:val="tx1"/>
                  </w14:solidFill>
                </w14:textFill>
              </w:rPr>
              <w:t>对在河道管理范围内修建围堤、阻水管道、阻水道路；在堤防、护堤地和在堤坝、管道上建房、放牧、开渠、取土、打井、挖窖、挖坑、葬坟、垦种、晒粮、存放物料、开采地下资源、进行考古发掘、毁坏块石护坡、林木草皮以及开展集市贸易活动；未经批准或者未按照规定采砂、取土、淘金、弃置砂石或者淤泥、爆破、钻探、挖筑鱼塘；擅自砍伐护堤护岸林木；汛期违反防汛指挥部的规定或者指令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泗洪县水利局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bidi="ar"/>
                <w14:textFill>
                  <w14:solidFill>
                    <w14:schemeClr w14:val="tx1"/>
                  </w14:solidFill>
                </w14:textFill>
              </w:rPr>
              <w:t>320205008000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bidi="ar"/>
                <w14:textFill>
                  <w14:solidFill>
                    <w14:schemeClr w14:val="tx1"/>
                  </w14:solidFill>
                </w14:textFill>
              </w:rPr>
              <w:t>对违反国家有关规定举办学校或其他教育机构进行处罚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eastAsia="zh-CN" w:bidi="ar"/>
                <w14:textFill>
                  <w14:solidFill>
                    <w14:schemeClr w14:val="tx1"/>
                  </w14:solidFill>
                </w14:textFill>
              </w:rPr>
              <w:t>泗洪县教育局</w:t>
            </w:r>
          </w:p>
        </w:tc>
      </w:tr>
      <w:tr>
        <w:tblPrEx>
          <w:tblCellMar>
            <w:top w:w="0" w:type="dxa"/>
            <w:left w:w="0" w:type="dxa"/>
            <w:bottom w:w="0" w:type="dxa"/>
            <w:right w:w="0" w:type="dxa"/>
          </w:tblCellMar>
        </w:tblPrEx>
        <w:trPr>
          <w:trHeight w:val="44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bidi="ar"/>
                <w14:textFill>
                  <w14:solidFill>
                    <w14:schemeClr w14:val="tx1"/>
                  </w14:solidFill>
                </w14:textFill>
              </w:rPr>
              <w:t>320205035000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bidi="ar"/>
                <w14:textFill>
                  <w14:solidFill>
                    <w14:schemeClr w14:val="tx1"/>
                  </w14:solidFill>
                </w14:textFill>
              </w:rPr>
              <w:t>对幼儿园未经登记注册，擅自招收幼儿的处罚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jc w:val="center"/>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eastAsia="zh-CN" w:bidi="ar"/>
                <w14:textFill>
                  <w14:solidFill>
                    <w14:schemeClr w14:val="tx1"/>
                  </w14:solidFill>
                </w14:textFill>
              </w:rPr>
              <w:t>泗洪县教育局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320214052000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违反工作时间规定的处罚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320214042000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违反禁止使用童工规定的处罚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273"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320214065000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6"/>
                <w:sz w:val="21"/>
                <w:szCs w:val="21"/>
                <w:lang w:val="en-US" w:eastAsia="zh-CN" w:bidi="ar"/>
                <w14:textFill>
                  <w14:solidFill>
                    <w14:schemeClr w14:val="tx1"/>
                  </w14:solidFill>
                </w14:textFill>
              </w:rPr>
              <w:t>拒不接受或配合劳动保障监察的处罚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51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320214039000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违反招用人员规定的处罚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320214043000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违反职业介绍管理规定的处罚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320214051000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违反劳务派遣管理规定的处罚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314"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320214054000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highlight w:val="none"/>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highlight w:val="none"/>
                <w:lang w:val="en-US" w:eastAsia="zh-CN" w:bidi="ar"/>
                <w14:textFill>
                  <w14:solidFill>
                    <w14:schemeClr w14:val="tx1"/>
                  </w14:solidFill>
                </w14:textFill>
              </w:rPr>
              <w:t>违反工资分配、工资支付管理规定的处罚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90"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320214046000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5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违反建立职工名册规定的处罚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r>
        <w:tblPrEx>
          <w:tblCellMar>
            <w:top w:w="0" w:type="dxa"/>
            <w:left w:w="0" w:type="dxa"/>
            <w:bottom w:w="0" w:type="dxa"/>
            <w:right w:w="0" w:type="dxa"/>
          </w:tblCellMar>
        </w:tblPrEx>
        <w:trPr>
          <w:trHeight w:val="116" w:hRule="atLeast"/>
          <w:jc w:val="center"/>
        </w:trPr>
        <w:tc>
          <w:tcPr>
            <w:tcW w:w="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60" w:lineRule="exact"/>
              <w:ind w:left="0" w:leftChars="0" w:right="66" w:rightChars="30" w:firstLine="0" w:firstLineChars="0"/>
              <w:jc w:val="center"/>
              <w:rPr>
                <w:rFonts w:hint="default" w:ascii="Times New Roman" w:hAnsi="Times New Roman" w:eastAsia="方正仿宋_GBK" w:cs="Times New Roman"/>
                <w:color w:val="000000" w:themeColor="text1"/>
                <w:sz w:val="21"/>
                <w:szCs w:val="21"/>
                <w14:textFill>
                  <w14:solidFill>
                    <w14:schemeClr w14:val="tx1"/>
                  </w14:solidFill>
                </w14:textFill>
              </w:rPr>
            </w:pPr>
          </w:p>
        </w:tc>
        <w:tc>
          <w:tcPr>
            <w:tcW w:w="14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rPr>
                <w:rFonts w:hint="default" w:ascii="Times New Roman" w:hAnsi="Times New Roman" w:eastAsia="方正仿宋_GBK"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方正仿宋_GBK" w:cs="Times New Roman"/>
                <w:color w:val="000000" w:themeColor="text1"/>
                <w:sz w:val="21"/>
                <w:szCs w:val="21"/>
                <w14:textFill>
                  <w14:solidFill>
                    <w14:schemeClr w14:val="tx1"/>
                  </w14:solidFill>
                </w14:textFill>
              </w:rPr>
              <w:t>320214059000</w:t>
            </w:r>
          </w:p>
        </w:tc>
        <w:tc>
          <w:tcPr>
            <w:tcW w:w="4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both"/>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pacing w:val="-6"/>
                <w:sz w:val="21"/>
                <w:szCs w:val="21"/>
                <w:lang w:val="en-US" w:eastAsia="zh-CN" w:bidi="ar"/>
                <w14:textFill>
                  <w14:solidFill>
                    <w14:schemeClr w14:val="tx1"/>
                  </w14:solidFill>
                </w14:textFill>
              </w:rPr>
              <w:t>骗取社会保险待遇或基金支出的处罚</w:t>
            </w:r>
          </w:p>
        </w:tc>
        <w:tc>
          <w:tcPr>
            <w:tcW w:w="28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泗洪县人力资源和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66" w:leftChars="30" w:right="66" w:rightChars="30" w:firstLine="0" w:firstLineChars="0"/>
              <w:jc w:val="center"/>
              <w:textAlignment w:val="center"/>
              <w:rPr>
                <w:rFonts w:hint="default" w:ascii="Times New Roman" w:hAnsi="Times New Roman" w:eastAsia="方正仿宋_GBK" w:cs="Times New Roman"/>
                <w:color w:val="000000" w:themeColor="text1"/>
                <w:kern w:val="2"/>
                <w:sz w:val="21"/>
                <w:szCs w:val="21"/>
                <w:u w:val="none"/>
                <w:lang w:val="en-US" w:eastAsia="zh-CN" w:bidi="ar"/>
                <w14:textFill>
                  <w14:solidFill>
                    <w14:schemeClr w14:val="tx1"/>
                  </w14:solidFill>
                </w14:textFill>
              </w:rPr>
            </w:pPr>
            <w:r>
              <w:rPr>
                <w:rStyle w:val="9"/>
                <w:rFonts w:hint="default" w:ascii="Times New Roman" w:hAnsi="Times New Roman" w:eastAsia="方正仿宋_GBK" w:cs="Times New Roman"/>
                <w:color w:val="000000" w:themeColor="text1"/>
                <w:sz w:val="21"/>
                <w:szCs w:val="21"/>
                <w:lang w:val="en-US" w:eastAsia="zh-CN" w:bidi="ar"/>
                <w14:textFill>
                  <w14:solidFill>
                    <w14:schemeClr w14:val="tx1"/>
                  </w14:solidFill>
                </w14:textFill>
              </w:rPr>
              <w:t>社会保障局</w:t>
            </w:r>
          </w:p>
        </w:tc>
      </w:tr>
    </w:tbl>
    <w:p>
      <w:pPr>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sectPr>
          <w:pgSz w:w="11906" w:h="16838"/>
          <w:pgMar w:top="2041" w:right="1531" w:bottom="2041" w:left="1531" w:header="851" w:footer="1474" w:gutter="0"/>
          <w:paperSrc/>
          <w:cols w:space="0" w:num="1"/>
          <w:rtlGutter w:val="0"/>
          <w:docGrid w:type="lines" w:linePitch="312" w:charSpace="0"/>
        </w:sect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rPr>
          <w:rFonts w:hint="default" w:ascii="Times New Roman" w:hAnsi="Times New Roman" w:eastAsia="方正黑体_GBK" w:cs="Times New Roman"/>
          <w:sz w:val="32"/>
          <w:szCs w:val="32"/>
          <w:lang w:val="en-US" w:eastAsia="zh-CN"/>
        </w:rPr>
      </w:pPr>
    </w:p>
    <w:p>
      <w:pPr>
        <w:pStyle w:val="2"/>
      </w:pPr>
    </w:p>
    <w:p>
      <w:pPr>
        <w:pBdr>
          <w:top w:val="single" w:color="auto" w:sz="6" w:space="1"/>
          <w:bottom w:val="single" w:color="auto" w:sz="6" w:space="0"/>
        </w:pBdr>
        <w:spacing w:line="540" w:lineRule="exact"/>
        <w:ind w:firstLine="280" w:firstLineChars="100"/>
        <w:rPr>
          <w:rFonts w:hint="default" w:ascii="Times New Roman" w:hAnsi="Times New Roman" w:eastAsia="方正黑体_GBK" w:cs="Times New Roman"/>
          <w:sz w:val="32"/>
          <w:szCs w:val="32"/>
          <w:lang w:val="en-US" w:eastAsia="zh-CN"/>
        </w:rPr>
      </w:pPr>
      <w:r>
        <w:rPr>
          <w:rFonts w:ascii="Times New Roman" w:hAnsi="Times New Roman" w:eastAsia="方正仿宋_GBK"/>
          <w:sz w:val="28"/>
          <w:szCs w:val="28"/>
        </w:rPr>
        <w:t xml:space="preserve">泗洪县人民政府办公室       </w:t>
      </w:r>
      <w:r>
        <w:rPr>
          <w:rFonts w:hint="eastAsia"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hint="eastAsia" w:ascii="Times New Roman" w:hAnsi="Times New Roman" w:eastAsia="方正仿宋_GBK"/>
          <w:sz w:val="28"/>
          <w:szCs w:val="28"/>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hint="eastAsia" w:ascii="Times New Roman" w:hAnsi="Times New Roman" w:eastAsia="方正仿宋_GBK"/>
          <w:sz w:val="28"/>
          <w:szCs w:val="28"/>
        </w:rPr>
        <w:t xml:space="preserve"> </w:t>
      </w:r>
      <w:r>
        <w:rPr>
          <w:rFonts w:ascii="Times New Roman" w:hAnsi="Times New Roman" w:eastAsia="方正仿宋_GBK"/>
          <w:sz w:val="28"/>
          <w:szCs w:val="28"/>
        </w:rPr>
        <w:t xml:space="preserve">     202</w:t>
      </w:r>
      <w:r>
        <w:rPr>
          <w:rFonts w:hint="eastAsia" w:ascii="Times New Roman" w:hAnsi="Times New Roman" w:eastAsia="方正仿宋_GBK"/>
          <w:sz w:val="28"/>
          <w:szCs w:val="28"/>
          <w:lang w:val="en-US" w:eastAsia="zh-CN"/>
        </w:rPr>
        <w:t>5</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3</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19</w:t>
      </w:r>
      <w:r>
        <w:rPr>
          <w:rFonts w:ascii="Times New Roman" w:hAnsi="Times New Roman" w:eastAsia="方正仿宋_GBK"/>
          <w:sz w:val="28"/>
          <w:szCs w:val="28"/>
        </w:rPr>
        <w:t>日印发</w:t>
      </w:r>
    </w:p>
    <w:sectPr>
      <w:footerReference r:id="rId6" w:type="default"/>
      <w:pgSz w:w="11906" w:h="16838"/>
      <w:pgMar w:top="2041" w:right="1531" w:bottom="2041" w:left="1531" w:header="851" w:footer="1474"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kinsoku/>
      <w:wordWrap/>
      <w:overflowPunct/>
      <w:topLinePunct w:val="0"/>
      <w:autoSpaceDE/>
      <w:autoSpaceDN/>
      <w:bidi w:val="0"/>
      <w:adjustRightInd w:val="0"/>
      <w:snapToGrid w:val="0"/>
      <w:spacing w:after="0" w:line="40" w:lineRule="exact"/>
      <w:jc w:val="right"/>
      <w:textAlignment w:val="auto"/>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-28575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spacing w:after="0"/>
                            <w:ind w:left="330" w:leftChars="150" w:right="330" w:rightChars="150"/>
                            <w:jc w:val="right"/>
                            <w:rPr>
                              <w:rFonts w:hint="eastAsia"/>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60288;mso-width-relative:page;mso-height-relative:page;" filled="f" stroked="f" coordsize="21600,21600" o:gfxdata="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UtA579QAAAAHAQAADwAAAAAAAAABACAAAAAiAAAAZHJzL2Rvd25y&#10;ZXYueG1sUEsBAhQAFAAAAAgAh07iQARvkKDJAQAAmQMAAA4AAAAAAAAAAQAgAAAAIwEAAGRycy9l&#10;Mm9Eb2MueG1sUEsFBgAAAAAGAAYAWQEAAF4FAAAAAA==&#10;">
              <v:fill on="f" focussize="0,0"/>
              <v:stroke on="f"/>
              <v:imagedata o:title=""/>
              <o:lock v:ext="edit" aspectratio="f"/>
              <v:textbox inset="0mm,0mm,0mm,0mm" style="mso-fit-shape-to-text:t;">
                <w:txbxContent>
                  <w:p>
                    <w:pPr>
                      <w:pStyle w:val="4"/>
                      <w:spacing w:after="0"/>
                      <w:ind w:left="330" w:leftChars="150" w:right="330" w:rightChars="150"/>
                      <w:jc w:val="right"/>
                      <w:rPr>
                        <w:rFonts w:hint="eastAsia"/>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ascii="宋体" w:hAnsi="宋体"/>
        <w:sz w:val="28"/>
        <w:szCs w:val="28"/>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kinsoku/>
      <w:wordWrap/>
      <w:overflowPunct/>
      <w:topLinePunct w:val="0"/>
      <w:autoSpaceDE/>
      <w:autoSpaceDN/>
      <w:bidi w:val="0"/>
      <w:adjustRightInd w:val="0"/>
      <w:snapToGrid w:val="0"/>
      <w:spacing w:after="0" w:line="40" w:lineRule="exact"/>
      <w:jc w:val="right"/>
      <w:textAlignment w:val="auto"/>
      <w:rPr>
        <w:rFonts w:ascii="宋体" w:hAnsi="宋体"/>
        <w:sz w:val="28"/>
        <w:szCs w:val="28"/>
      </w:rPr>
    </w:pP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2E3B15"/>
    <w:multiLevelType w:val="singleLevel"/>
    <w:tmpl w:val="CE2E3B15"/>
    <w:lvl w:ilvl="0" w:tentative="0">
      <w:start w:val="1"/>
      <w:numFmt w:val="decimal"/>
      <w:suff w:val="nothing"/>
      <w:lvlText w:val="%1"/>
      <w:lvlJc w:val="left"/>
      <w:pPr>
        <w:ind w:left="425" w:hanging="425"/>
      </w:pPr>
      <w:rPr>
        <w:rFonts w:hint="default"/>
      </w:rPr>
    </w:lvl>
  </w:abstractNum>
  <w:abstractNum w:abstractNumId="1">
    <w:nsid w:val="ED24E409"/>
    <w:multiLevelType w:val="singleLevel"/>
    <w:tmpl w:val="ED24E409"/>
    <w:lvl w:ilvl="0" w:tentative="0">
      <w:start w:val="1"/>
      <w:numFmt w:val="decimal"/>
      <w:suff w:val="nothing"/>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OWNjNTlmZWQ1ZmIyMGI2NWQzZWYwZjU3YzVhYmMifQ=="/>
  </w:docVars>
  <w:rsids>
    <w:rsidRoot w:val="50D922FC"/>
    <w:rsid w:val="00473031"/>
    <w:rsid w:val="011B572A"/>
    <w:rsid w:val="02810A7C"/>
    <w:rsid w:val="084C7436"/>
    <w:rsid w:val="09B5725D"/>
    <w:rsid w:val="0D3B3E25"/>
    <w:rsid w:val="0FE8213B"/>
    <w:rsid w:val="11847C41"/>
    <w:rsid w:val="15DD2016"/>
    <w:rsid w:val="1DC51D0D"/>
    <w:rsid w:val="1DF27458"/>
    <w:rsid w:val="1E805C34"/>
    <w:rsid w:val="234431A3"/>
    <w:rsid w:val="235A5941"/>
    <w:rsid w:val="24487BCC"/>
    <w:rsid w:val="247104F9"/>
    <w:rsid w:val="287B7859"/>
    <w:rsid w:val="3D65451B"/>
    <w:rsid w:val="3E5459CA"/>
    <w:rsid w:val="3ED731F7"/>
    <w:rsid w:val="432A59BE"/>
    <w:rsid w:val="45E32481"/>
    <w:rsid w:val="4CFF0B6E"/>
    <w:rsid w:val="4F205ADB"/>
    <w:rsid w:val="50D922FC"/>
    <w:rsid w:val="54B05E90"/>
    <w:rsid w:val="5B3E042E"/>
    <w:rsid w:val="62E95123"/>
    <w:rsid w:val="64504D2E"/>
    <w:rsid w:val="6585306C"/>
    <w:rsid w:val="65B91015"/>
    <w:rsid w:val="66A17AC3"/>
    <w:rsid w:val="6BE20A81"/>
    <w:rsid w:val="702E0619"/>
    <w:rsid w:val="713559D7"/>
    <w:rsid w:val="75BE243F"/>
    <w:rsid w:val="7999518A"/>
    <w:rsid w:val="7C6A0C2B"/>
    <w:rsid w:val="7D0F5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pPr>
    <w:rPr>
      <w:rFonts w:ascii="Tahoma" w:hAnsi="Tahoma" w:eastAsia="宋体" w:cs="Times New Roman"/>
      <w:sz w:val="22"/>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1"/>
    <w:qFormat/>
    <w:uiPriority w:val="0"/>
    <w:rPr>
      <w:rFonts w:ascii="仿宋_GB2312" w:hAnsi="Times New Roman" w:eastAsia="仿宋_GB2312" w:cs="Times New Roman"/>
      <w:sz w:val="32"/>
      <w:szCs w:val="32"/>
    </w:rPr>
  </w:style>
  <w:style w:type="paragraph" w:styleId="4">
    <w:name w:val="footer"/>
    <w:basedOn w:val="1"/>
    <w:autoRedefine/>
    <w:qFormat/>
    <w:uiPriority w:val="99"/>
    <w:pPr>
      <w:tabs>
        <w:tab w:val="center" w:pos="4153"/>
        <w:tab w:val="right" w:pos="8306"/>
      </w:tabs>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100" w:beforeAutospacing="1" w:after="100" w:afterAutospacing="1"/>
      <w:jc w:val="left"/>
    </w:pPr>
    <w:rPr>
      <w:kern w:val="0"/>
      <w:sz w:val="24"/>
    </w:rPr>
  </w:style>
  <w:style w:type="character" w:customStyle="1" w:styleId="9">
    <w:name w:val="font61"/>
    <w:basedOn w:val="8"/>
    <w:autoRedefine/>
    <w:qFormat/>
    <w:uiPriority w:val="0"/>
    <w:rPr>
      <w:rFonts w:ascii="方正仿宋_GBK" w:hAnsi="方正仿宋_GBK" w:eastAsia="方正仿宋_GBK" w:cs="方正仿宋_GBK"/>
      <w:color w:val="000000"/>
      <w:sz w:val="24"/>
      <w:szCs w:val="24"/>
      <w:u w:val="none"/>
    </w:rPr>
  </w:style>
  <w:style w:type="character" w:customStyle="1" w:styleId="10">
    <w:name w:val="font71"/>
    <w:basedOn w:val="8"/>
    <w:qFormat/>
    <w:uiPriority w:val="0"/>
    <w:rPr>
      <w:rFonts w:hint="eastAsia" w:ascii="方正仿宋_GBK" w:hAnsi="方正仿宋_GBK" w:eastAsia="方正仿宋_GBK" w:cs="方正仿宋_GBK"/>
      <w:color w:val="000000"/>
      <w:sz w:val="24"/>
      <w:szCs w:val="24"/>
      <w:u w:val="none"/>
    </w:rPr>
  </w:style>
  <w:style w:type="character" w:customStyle="1" w:styleId="11">
    <w:name w:val="font41"/>
    <w:basedOn w:val="8"/>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9596</Words>
  <Characters>11327</Characters>
  <Lines>0</Lines>
  <Paragraphs>0</Paragraphs>
  <TotalTime>2</TotalTime>
  <ScaleCrop>false</ScaleCrop>
  <LinksUpToDate>false</LinksUpToDate>
  <CharactersWithSpaces>11386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2024-07-02T08:13:00Z</dcterms:created>
  <dc:creator>司</dc:creator>
  <cp:lastModifiedBy>l</cp:lastModifiedBy>
  <cp:lastPrinted>2025-03-19T02:32:04Z</cp:lastPrinted>
  <dcterms:modified xsi:type="dcterms:W3CDTF">2025-03-19T02:32:46Z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85BFF9EADC0F41AABB4F1E0174D0DF34_13</vt:lpwstr>
  </property>
  <property fmtid="{D5CDD505-2E9C-101B-9397-08002B2CF9AE}" pid="4" name="KSOTemplateDocerSaveRecord">
    <vt:lpwstr>eyJoZGlkIjoiMjEyZjk2NzM5ZjYyMDY5NTEyZTk1MTU5NDQ0NzZiZGMiLCJ1c2VySWQiOiI0MDg4OTg0NzIifQ==</vt:lpwstr>
  </property>
</Properties>
</file>