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spacing w:line="1560" w:lineRule="exact"/>
        <w:jc w:val="center"/>
        <w:rPr>
          <w:rFonts w:hint="default" w:ascii="Times New Roman" w:hAnsi="Times New Roman" w:eastAsia="方正小标宋简体" w:cs="Times New Roman"/>
          <w:b/>
          <w:color w:val="FF0000"/>
          <w:spacing w:val="128"/>
          <w:w w:val="50"/>
          <w:sz w:val="160"/>
          <w:szCs w:val="160"/>
          <w:highlight w:val="none"/>
        </w:rPr>
      </w:pPr>
    </w:p>
    <w:p>
      <w:pPr>
        <w:spacing w:before="31" w:beforeLines="10"/>
        <w:jc w:val="center"/>
        <w:rPr>
          <w:rFonts w:hint="default" w:ascii="Times New Roman" w:hAnsi="Times New Roman" w:eastAsia="方正小标宋简体" w:cs="Times New Roman"/>
          <w:b/>
          <w:color w:val="0000FF"/>
          <w:spacing w:val="57"/>
          <w:w w:val="50"/>
          <w:sz w:val="160"/>
          <w:szCs w:val="160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color w:val="FFFFFF"/>
          <w:spacing w:val="57"/>
          <w:w w:val="50"/>
          <w:sz w:val="160"/>
          <w:szCs w:val="160"/>
          <w:highlight w:val="none"/>
        </w:rPr>
        <w:t>泗洪县人民政府文</w:t>
      </w:r>
      <w:r>
        <w:rPr>
          <w:rFonts w:hint="default" w:ascii="Times New Roman" w:hAnsi="Times New Roman" w:eastAsia="方正小标宋简体" w:cs="Times New Roman"/>
          <w:b/>
          <w:color w:val="FFFFFF"/>
          <w:w w:val="50"/>
          <w:sz w:val="160"/>
          <w:szCs w:val="160"/>
          <w:highlight w:val="none"/>
        </w:rPr>
        <w:t>件</w:t>
      </w:r>
    </w:p>
    <w:p>
      <w:pPr>
        <w:spacing w:line="360" w:lineRule="exact"/>
        <w:ind w:left="210" w:leftChars="100" w:right="210" w:rightChars="100"/>
        <w:jc w:val="center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</w:p>
    <w:p>
      <w:pPr>
        <w:spacing w:line="580" w:lineRule="exact"/>
        <w:ind w:left="210" w:leftChars="100" w:right="210" w:rightChars="100"/>
        <w:jc w:val="center"/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洪政发〔202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号</w:t>
      </w:r>
    </w:p>
    <w:p>
      <w:pPr>
        <w:spacing w:line="227" w:lineRule="exact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155" w:rightChars="-74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48895</wp:posOffset>
                </wp:positionH>
                <wp:positionV relativeFrom="paragraph">
                  <wp:posOffset>8890</wp:posOffset>
                </wp:positionV>
                <wp:extent cx="5582285" cy="5715"/>
                <wp:effectExtent l="0" t="20320" r="18415" b="3111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82285" cy="5715"/>
                        </a:xfrm>
                        <a:prstGeom prst="line">
                          <a:avLst/>
                        </a:prstGeom>
                        <a:ln w="412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85pt;margin-top:0.7pt;height:0.45pt;width:439.55pt;z-index:251659264;mso-width-relative:page;mso-height-relative:page;" filled="f" stroked="t" coordsize="21600,21600" o:gfxdata="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GVswx1gAAAAUBAAAPAAAAAAAAAAEAIAAAACIAAABkcnMvZG93bnJl&#10;di54bWxQSwECFAAUAAAACACHTuJAUJ0bSv8BAADyAwAADgAAAAAAAAABACAAAAAlAQAAZHJzL2Uy&#10;b0RvYy54bWxQSwUGAAAAAAYABgBZAQAAlgUAAAAA&#10;">
                <v:fill on="f" focussize="0,0"/>
                <v:stroke weight="3.25pt" color="#FFFFFF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 w:bidi="ar"/>
        </w:rPr>
        <w:t>县政府关于印发泗洪县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 w:bidi="ar"/>
        </w:rPr>
        <w:t>乡镇（街道）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 w:bidi="ar"/>
        </w:rPr>
        <w:t>工业经济高质量发展三年行动计划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（2025</w:t>
      </w:r>
      <w:r>
        <w:rPr>
          <w:rFonts w:hint="eastAsia" w:ascii="方正仿宋_GBK" w:hAnsi="方正仿宋_GBK" w:eastAsia="方正仿宋_GBK" w:cs="方正仿宋_GBK"/>
          <w:color w:val="auto"/>
          <w:sz w:val="44"/>
          <w:szCs w:val="44"/>
          <w:highlight w:val="none"/>
          <w:lang w:eastAsia="zh-CN"/>
        </w:rPr>
        <w:t>－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2027年）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0"/>
          <w:kern w:val="0"/>
          <w:sz w:val="44"/>
          <w:szCs w:val="44"/>
          <w:highlight w:val="none"/>
          <w:lang w:val="en-US" w:eastAsia="zh-CN" w:bidi="ar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79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各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人民政府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各街道办事处，县各开发区、园区管委会，县各办局，县各直属单位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《泗洪县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工业经济高质量发展三年行动计划（2025</w:t>
      </w:r>
      <w:r>
        <w:rPr>
          <w:rFonts w:hint="default" w:ascii="Times New Roman" w:hAnsi="Times New Roman" w:eastAsia="宋体" w:cs="Times New Roman"/>
          <w:color w:val="auto"/>
          <w:spacing w:val="0"/>
          <w:sz w:val="32"/>
          <w:szCs w:val="3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2027年）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》已经县人民政府同意，现印发给你们，请认真组织实施。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泗洪县人民政府</w:t>
      </w:r>
    </w:p>
    <w:p>
      <w:pPr>
        <w:pStyle w:val="2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 xml:space="preserve">                    2025年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泗洪县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  <w:t>乡镇（街道）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工业经济高质量发展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三年行动计划（2025</w:t>
      </w:r>
      <w:r>
        <w:rPr>
          <w:rFonts w:hint="eastAsia" w:ascii="方正仿宋_GBK" w:hAnsi="方正仿宋_GBK" w:eastAsia="方正仿宋_GBK" w:cs="方正仿宋_GBK"/>
          <w:color w:val="auto"/>
          <w:sz w:val="44"/>
          <w:szCs w:val="44"/>
          <w:highlight w:val="none"/>
          <w:lang w:eastAsia="zh-CN"/>
        </w:rPr>
        <w:t>－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2027年）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为深入贯彻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工业强县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战略，推动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工业经济转型升级，实现高质量发展，结合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我县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发展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实际，制定本行动计划。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、发展目标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到2027年，全县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产业发展各具特色，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特色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产业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培育显著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，街道特色产业初具规模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。到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十五五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末，力争实现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工业开票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2212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发展目标：2个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highlight w:val="none"/>
          <w:lang w:val="en-US" w:eastAsia="zh-CN"/>
        </w:rPr>
        <w:t>（双沟镇、界集镇）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工业开票达100亿元，2个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highlight w:val="none"/>
          <w:lang w:val="en-US" w:eastAsia="zh-CN"/>
        </w:rPr>
        <w:t>（上塘镇、金锁镇）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工业开票达50亿元，其余12个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工业开票达20亿元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其中，2025年努力实现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工业经济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2266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目标，即2个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工业开票销售超50亿元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highlight w:val="none"/>
          <w:lang w:val="en-US" w:eastAsia="zh-CN"/>
        </w:rPr>
        <w:t>（双沟镇、界集镇）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、2个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超过30亿元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highlight w:val="none"/>
          <w:lang w:val="en-US" w:eastAsia="zh-CN"/>
        </w:rPr>
        <w:t>（上塘镇、金锁镇）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、6个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超15亿元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highlight w:val="none"/>
          <w:lang w:val="en-US" w:eastAsia="zh-CN"/>
        </w:rPr>
        <w:t>（瑶沟乡、龙集镇、孙园镇、临淮镇、魏营镇、半城镇）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、6个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超10亿元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highlight w:val="none"/>
          <w:lang w:val="en-US" w:eastAsia="zh-CN"/>
        </w:rPr>
        <w:t>（梅花镇、车门乡、归仁镇、天岗湖乡、朱湖镇、石集乡）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实现街道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工业开票销售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达到17亿元。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产业定位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全县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通过加大协调合作力度，结合产业特色，充分利用区位优势和自身实际发展优势，优化调整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1+1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主导产业定位，集中分片打造特色产业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；全县街道根据未来工业经济发展情况，确定自身产业定位，围绕主导产业、特色产业发展壮大工业经济总量。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其中，西南岗片区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着重打造绿色食品、纺织服装、绿色建材、新能源等产业；东南片区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重点打造食品加工、机械电子等产业；北部片区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重点打造设备制造、智能家居等产业；临淮镇、金锁镇、瑶沟乡、梅花镇、归仁镇等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重点试点培育户外休闲产业和宠物经济等</w:t>
      </w:r>
      <w:r>
        <w:rPr>
          <w:rFonts w:hint="default" w:ascii="Times New Roman" w:hAnsi="Times New Roman" w:eastAsia="方正仿宋_GBK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特色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产业，2027年底形成一定产业规模。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重点任务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</w:rPr>
        <w:t>（一）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招商引资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</w:rPr>
        <w:t>攻坚行动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围绕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+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特色产业招商，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立足自身优势产业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聚焦延链补链强链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坚持以商引商、市场招商等多种形式，深抓项目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签约、开工、竣工、投产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达效，重大项目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挂图作战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，以落户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超2000万元以上招商引资项目为抓手，鼓励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项目异地落户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创新化解资源要素不足方式，做大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工业底数。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</w:rPr>
        <w:t>（二）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园区项目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</w:rPr>
        <w:t>提质行动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充分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利用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6000万元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规模发展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引导资金，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加大对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设备更新、产业转型升级、基础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配套建设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、存量用地盘活、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标准化厂房新增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支持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实施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腾笼换鸟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工程，清理低效企业，优化空间布局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不断提升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园区承载力，三年盘活存量用地不低于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00亩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，每年盘活闲置、低效厂房不低于13万平方米。落户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项目应符合国家产业政策及节能、环保、安全等相关要求，对落户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投资超5000万元以上且符合本地主导产业的重点项目，投资强度原则上不低于300万元/亩。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（三）企业梯度培育行动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分类建立企业培育项目库，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不断完善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企业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小升规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规升巨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巨升精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培育体系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推动企业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逐步壮大、实现量质提升。筛选具有技术或市场潜力的初创企业，建立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种子库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，重点提供基础孵化服务；筛选技术较为成熟、科技含量较高的存量企业，针对技术升级、市场拓展等方面需求提供支持；筛选各方面条件较为成熟、行业优势较为显著的企业，建立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领军库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，推动企业发挥链主作用，带动产业链上下游协调发展。至2027年，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每年新增开票超2000万元以上企业不少于70家、</w:t>
      </w:r>
      <w:r>
        <w:rPr>
          <w:rFonts w:hint="default" w:ascii="Times New Roman" w:hAnsi="Times New Roman" w:eastAsia="方正仿宋_GBK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增规模以上工业企业不少于50家、新增优质中小企业不少于40家、新增开票超亿元以上龙头企业不少于5家。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（四）特色产业优化行动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立足本地资源优势，结合原先产业发展基础，紧跟时代发展要求，在原有特色产业基础上，进行优化、调整，找准主攻方向，鼓励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进一步提升产业发展质态。积极鼓励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新兴产业发展，以临淮镇、金锁镇、瑶沟乡、梅花镇、归仁镇等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为重点，集中力量打造3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5个户外休闲产业、宠物经济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集聚区，把户外休闲产业、宠物经济打造成为全县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乡镇工业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经济高质量发展的新增长极。至2027年，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特色产业产值年均增速10%以上，户外休闲产业、宠物经济总产值年均增速25%以上。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（五）传统产业焕新行动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坚持高端化、智能化、绿色化发展方向，对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铸造等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传统行业领域实施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产业结构优化、设备更新改造、产品提档升级、科技创新引领、智改数转网联、绿色低碳转型、企业管理赋能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七大行动。全面落实超长期特别国债、制造业贷款贴息、建设长三角先进制造业基地等各级各类产业扶持政策，加大产业发展引导资金对传统产业焕新项目支持力度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2025年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全面完成铸造行业转型升级目标任务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方正仿宋_GBK" w:cs="Times New Roman"/>
          <w:color w:val="auto"/>
          <w:highlight w:val="none"/>
        </w:rPr>
        <w:t>常态化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开展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散乱污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排查整治，严格按照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、村居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（社区）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排查网格，层层落实责任，形成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散乱污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企业清单，挂图作战，整改一件、销号一件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，实现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动态清零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智改数转网联行动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深入实施智改数转网联三年行动计划，立足不同产业基础及差异化发展需求，统筹推进人工智能、大数据、云计算、5G、物联网等新一代信息技术与制造业全流程、全要素深度融合。加快生产设备数字化升级，规模化应用新型传感、先进控制等智能核心部件，加速智能装备迭代更新和工业软件替代升级。推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小快轻准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工业软件体系，降低中小企业数字化转型门槛，推动智能化改造项目高效落地，全面提升制造业数字化、网络化、智能化发展水平。至2027年，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年实施数字化改造项目不少于16个，省先进级智能工厂实现突破。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（七）营商环境优化提升行动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深化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放管服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改革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推行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拿地即开工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审批模式，压缩项目落地周期。建立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企业服务日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制度，常态化解决用工、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资金短缺、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物流等问题。加强人才引育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实施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泗洪工匠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培养计划，联合职业院校定向培养产业工人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引导有条件的企业搭建实训基地，实现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离校即上手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对引进高层次人才的企业，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积极争取各类创业类、创新类资金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降低企业负担，建立防范和化解拖欠账款长效机制，通过化解拖欠中小企业账款等问题，构建亲清政商关系，促进政府与企业间的健康互动，为企业发展创造有利条件。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（一）提升发展动力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县财政</w:t>
      </w:r>
      <w:r>
        <w:rPr>
          <w:rFonts w:hint="default" w:ascii="Times New Roman" w:hAnsi="Times New Roman" w:eastAsia="方正仿宋_GBK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每年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设立6000万元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产业发展引导资金，用于各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工业集中区基础设施建设、设备更新、产业转型升级、标准化厂房建设、</w:t>
      </w:r>
      <w:r>
        <w:rPr>
          <w:rFonts w:hint="default" w:ascii="Times New Roman" w:hAnsi="Times New Roman" w:eastAsia="方正仿宋_GBK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存量土地</w:t>
      </w:r>
      <w:r>
        <w:rPr>
          <w:rFonts w:hint="eastAsia" w:ascii="Times New Roman" w:hAnsi="Times New Roman" w:eastAsia="方正仿宋_GBK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及</w:t>
      </w:r>
      <w:r>
        <w:rPr>
          <w:rFonts w:hint="default" w:ascii="Times New Roman" w:hAnsi="Times New Roman" w:eastAsia="方正仿宋_GBK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闲置厂房盘活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等奖补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（二）执行目标评价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每年年底进行工作目标评价，对目标执行情况较好的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，分别给予100万元、80万元、60万元、50万元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40万元的奖励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用于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工业发展支出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（三）推动园区升级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成功获批省级经济开发区的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工业集中区，县财政一次性给予500万元奖励。成功获批国家、省级中小企业特色产业集群的分别奖励100万元、50万元。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（四）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保障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用地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招引质态佳、效益好的重大项目，用地实行点供，由县资规局调配用地指标，保障用地需求。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附件：1. 全县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工业经济发展工作目标明细表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600" w:leftChars="0" w:firstLine="0" w:firstLineChars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全县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盘活土地、厂房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计划表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600" w:leftChars="0" w:firstLine="0" w:firstLineChars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全县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乡镇“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1+1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特色产业定位表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2041" w:right="1531" w:bottom="1701" w:left="1531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全县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工业经济发展工作目标明细表</w:t>
      </w:r>
    </w:p>
    <w:tbl>
      <w:tblPr>
        <w:tblStyle w:val="8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156"/>
        <w:gridCol w:w="1156"/>
        <w:gridCol w:w="1156"/>
        <w:gridCol w:w="1157"/>
        <w:gridCol w:w="1157"/>
        <w:gridCol w:w="1157"/>
        <w:gridCol w:w="1157"/>
        <w:gridCol w:w="1162"/>
        <w:gridCol w:w="1299"/>
        <w:gridCol w:w="1157"/>
        <w:gridCol w:w="1157"/>
        <w:gridCol w:w="11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9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乡镇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（街道）</w:t>
            </w:r>
          </w:p>
        </w:tc>
        <w:tc>
          <w:tcPr>
            <w:tcW w:w="794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年新增200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 w:bidi="ar"/>
              </w:rPr>
              <w:t>0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万元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招商引资项目</w:t>
            </w:r>
          </w:p>
        </w:tc>
        <w:tc>
          <w:tcPr>
            <w:tcW w:w="794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年新增5000万元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招商引资项目</w:t>
            </w:r>
          </w:p>
        </w:tc>
        <w:tc>
          <w:tcPr>
            <w:tcW w:w="1193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工业开票销售收入</w:t>
            </w:r>
          </w:p>
        </w:tc>
        <w:tc>
          <w:tcPr>
            <w:tcW w:w="44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年新增开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票销售超</w:t>
            </w:r>
            <w:r>
              <w:rPr>
                <w:rStyle w:val="10"/>
                <w:rFonts w:hint="default" w:ascii="Times New Roman" w:hAnsi="Times New Roman" w:eastAsia="方正黑体_GBK" w:cs="Times New Roman"/>
                <w:color w:val="auto"/>
                <w:highlight w:val="none"/>
                <w:lang w:val="en-US" w:eastAsia="zh-CN" w:bidi="ar"/>
              </w:rPr>
              <w:t>2000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万元企业</w:t>
            </w:r>
          </w:p>
        </w:tc>
        <w:tc>
          <w:tcPr>
            <w:tcW w:w="39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年新增优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质中小企业</w:t>
            </w:r>
          </w:p>
        </w:tc>
        <w:tc>
          <w:tcPr>
            <w:tcW w:w="39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strike w:val="0"/>
                <w:dstrike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年净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增规模以上工业企业</w:t>
            </w:r>
          </w:p>
        </w:tc>
        <w:tc>
          <w:tcPr>
            <w:tcW w:w="39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特色产业产值年均增速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9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开工数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竣工数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开工数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竣工数</w:t>
            </w:r>
          </w:p>
        </w:tc>
        <w:tc>
          <w:tcPr>
            <w:tcW w:w="39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2025年</w:t>
            </w:r>
          </w:p>
        </w:tc>
        <w:tc>
          <w:tcPr>
            <w:tcW w:w="39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2026年</w:t>
            </w:r>
          </w:p>
        </w:tc>
        <w:tc>
          <w:tcPr>
            <w:tcW w:w="39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2027年</w:t>
            </w:r>
          </w:p>
        </w:tc>
        <w:tc>
          <w:tcPr>
            <w:tcW w:w="44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9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9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9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9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双沟镇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界集镇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上塘镇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金锁镇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瑶沟乡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孙园镇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归仁镇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半城镇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龙集镇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魏营镇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临淮镇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车门乡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梅花镇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朱湖镇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天岗湖乡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石集乡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青阳街道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大楼街道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重岗街道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247" w:right="1247" w:bottom="1247" w:left="124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全县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乡镇（街道）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盘活土地、厂房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计划表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highlight w:val="none"/>
          <w:lang w:val="en-US" w:eastAsia="zh-CN"/>
        </w:rPr>
        <w:t>（2025</w:t>
      </w:r>
      <w:r>
        <w:rPr>
          <w:rFonts w:hint="eastAsia" w:ascii="方正仿宋_GBK" w:hAnsi="方正仿宋_GBK" w:eastAsia="方正仿宋_GBK" w:cs="方正仿宋_GBK"/>
          <w:color w:val="auto"/>
          <w:sz w:val="36"/>
          <w:szCs w:val="36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highlight w:val="none"/>
          <w:lang w:val="en-US" w:eastAsia="zh-CN"/>
        </w:rPr>
        <w:t>2027年）</w:t>
      </w:r>
    </w:p>
    <w:tbl>
      <w:tblPr>
        <w:tblStyle w:val="8"/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896"/>
        <w:gridCol w:w="3044"/>
        <w:gridCol w:w="3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6"/>
                <w:szCs w:val="36"/>
                <w:highlight w:val="none"/>
                <w:lang w:val="en-US" w:eastAsia="zh-CN"/>
              </w:rPr>
              <w:t>－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2027年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盘活存量用地（亩）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2025年盘活闲置、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低效厂房（平方米）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双沟镇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400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界集镇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250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上塘镇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200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金锁镇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瑶沟乡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150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孙园镇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150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归仁镇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150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半城镇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80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龙集镇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150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魏营镇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临淮镇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车门乡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梅花镇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朱湖镇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天岗湖乡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00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石集乡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青阳街道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80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大楼街道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重岗街道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100</w:t>
            </w:r>
          </w:p>
        </w:tc>
        <w:tc>
          <w:tcPr>
            <w:tcW w:w="1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全县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乡镇“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1+1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特色产业定位表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  <w:highlight w:val="none"/>
          <w:lang w:val="en-US" w:eastAsia="zh-CN"/>
        </w:rPr>
      </w:pPr>
    </w:p>
    <w:tbl>
      <w:tblPr>
        <w:tblStyle w:val="8"/>
        <w:tblW w:w="95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891"/>
        <w:gridCol w:w="6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产业定位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双沟镇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绿色食品+机械电子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界集镇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装备制造+绿色食品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魏营镇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纺织服装+机械电子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车门乡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绿色建材+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trike w:val="0"/>
                <w:dstrike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新材料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孙园镇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绿色食品+机械电子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金锁镇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户外休闲产业（宠物经济）+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trike w:val="0"/>
                <w:dstrike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智能家居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天岗湖乡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机械电子+新能源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龙集镇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机械电子+绿色食品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上塘镇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纺织服装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梅花镇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户外休闲产业+机械电子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归仁镇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户外休闲产业+绿色食品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瑶沟乡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户外休闲产业+机械电子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临淮镇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绿色食品+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trike w:val="0"/>
                <w:dstrike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渔具渔需（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宠物经济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trike w:val="0"/>
                <w:dstrike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半城镇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绿色食品+机械电子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石集乡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绿色食品+文化休闲旅游产品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highlight w:val="none"/>
                <w:lang w:val="en-US" w:eastAsia="zh-CN" w:bidi="ar"/>
              </w:rPr>
              <w:t>朱湖镇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绿色建材+新材料</w:t>
            </w:r>
          </w:p>
        </w:tc>
      </w:tr>
    </w:tbl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sectPr>
          <w:pgSz w:w="11906" w:h="16838"/>
          <w:pgMar w:top="2041" w:right="1531" w:bottom="2041" w:left="1531" w:header="851" w:footer="1474" w:gutter="0"/>
          <w:paperSrc/>
          <w:pgNumType w:fmt="decimal"/>
          <w:cols w:space="0" w:num="1"/>
          <w:rtlGutter w:val="0"/>
          <w:docGrid w:type="lines" w:linePitch="312" w:charSpace="0"/>
        </w:sect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spacing w:line="360" w:lineRule="exact"/>
        <w:ind w:leftChars="0" w:firstLine="0" w:firstLineChars="0"/>
        <w:rPr>
          <w:highlight w:val="none"/>
        </w:rPr>
      </w:pPr>
    </w:p>
    <w:p>
      <w:pPr>
        <w:pBdr>
          <w:top w:val="single" w:color="auto" w:sz="6" w:space="1"/>
          <w:bottom w:val="single" w:color="auto" w:sz="6" w:space="0"/>
        </w:pBdr>
        <w:spacing w:line="480" w:lineRule="exact"/>
        <w:ind w:firstLine="280" w:firstLineChars="100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eastAsia="方正仿宋_GBK"/>
          <w:sz w:val="28"/>
          <w:szCs w:val="28"/>
          <w:highlight w:val="none"/>
        </w:rPr>
        <w:t xml:space="preserve">泗洪县人民政府办公室     </w:t>
      </w:r>
      <w:r>
        <w:rPr>
          <w:rFonts w:hint="eastAsia" w:eastAsia="方正仿宋_GBK"/>
          <w:sz w:val="28"/>
          <w:szCs w:val="28"/>
          <w:highlight w:val="none"/>
        </w:rPr>
        <w:t xml:space="preserve">        </w:t>
      </w:r>
      <w:r>
        <w:rPr>
          <w:rFonts w:hint="eastAsia" w:eastAsia="方正仿宋_GBK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eastAsia="方正仿宋_GBK"/>
          <w:sz w:val="28"/>
          <w:szCs w:val="28"/>
          <w:highlight w:val="none"/>
        </w:rPr>
        <w:t xml:space="preserve"> </w:t>
      </w:r>
      <w:r>
        <w:rPr>
          <w:rFonts w:eastAsia="方正仿宋_GBK"/>
          <w:sz w:val="28"/>
          <w:szCs w:val="28"/>
          <w:highlight w:val="none"/>
        </w:rPr>
        <w:t xml:space="preserve"> </w:t>
      </w:r>
      <w:r>
        <w:rPr>
          <w:rFonts w:hint="eastAsia" w:eastAsia="方正仿宋_GBK"/>
          <w:sz w:val="28"/>
          <w:szCs w:val="28"/>
          <w:highlight w:val="none"/>
        </w:rPr>
        <w:t xml:space="preserve">  </w:t>
      </w:r>
      <w:r>
        <w:rPr>
          <w:rFonts w:eastAsia="方正仿宋_GBK"/>
          <w:sz w:val="28"/>
          <w:szCs w:val="28"/>
          <w:highlight w:val="none"/>
        </w:rPr>
        <w:t xml:space="preserve">   </w:t>
      </w:r>
      <w:r>
        <w:rPr>
          <w:rFonts w:ascii="Times New Roman" w:hAnsi="Times New Roman" w:eastAsia="方正仿宋_GBK"/>
          <w:sz w:val="28"/>
          <w:szCs w:val="28"/>
          <w:highlight w:val="none"/>
        </w:rPr>
        <w:t>202</w:t>
      </w:r>
      <w:r>
        <w:rPr>
          <w:rFonts w:hint="eastAsia" w:ascii="Times New Roman" w:hAnsi="Times New Roman" w:eastAsia="方正仿宋_GBK"/>
          <w:sz w:val="28"/>
          <w:szCs w:val="28"/>
          <w:highlight w:val="none"/>
        </w:rPr>
        <w:t>5</w:t>
      </w:r>
      <w:r>
        <w:rPr>
          <w:rFonts w:eastAsia="方正仿宋_GBK"/>
          <w:sz w:val="28"/>
          <w:szCs w:val="28"/>
          <w:highlight w:val="none"/>
        </w:rPr>
        <w:t>年</w:t>
      </w:r>
      <w:r>
        <w:rPr>
          <w:rFonts w:hint="eastAsia" w:ascii="Times New Roman" w:hAnsi="Times New Roman" w:eastAsia="方正仿宋_GBK"/>
          <w:sz w:val="28"/>
          <w:szCs w:val="28"/>
          <w:highlight w:val="none"/>
          <w:lang w:val="en-US" w:eastAsia="zh-CN"/>
        </w:rPr>
        <w:t>7</w:t>
      </w:r>
      <w:r>
        <w:rPr>
          <w:rFonts w:eastAsia="方正仿宋_GBK"/>
          <w:sz w:val="28"/>
          <w:szCs w:val="28"/>
          <w:highlight w:val="none"/>
        </w:rPr>
        <w:t>月</w:t>
      </w:r>
      <w:r>
        <w:rPr>
          <w:rFonts w:hint="eastAsia" w:ascii="Times New Roman" w:hAnsi="Times New Roman" w:eastAsia="方正仿宋_GBK"/>
          <w:sz w:val="28"/>
          <w:szCs w:val="28"/>
          <w:highlight w:val="none"/>
          <w:lang w:val="en-US" w:eastAsia="zh-CN"/>
        </w:rPr>
        <w:t>8</w:t>
      </w:r>
      <w:r>
        <w:rPr>
          <w:rFonts w:eastAsia="方正仿宋_GBK"/>
          <w:sz w:val="28"/>
          <w:szCs w:val="28"/>
          <w:highlight w:val="none"/>
        </w:rPr>
        <w:t>日印发</w:t>
      </w:r>
    </w:p>
    <w:sectPr>
      <w:footerReference r:id="rId4" w:type="default"/>
      <w:pgSz w:w="11906" w:h="16838"/>
      <w:pgMar w:top="2041" w:right="1531" w:bottom="2041" w:left="1531" w:header="851" w:footer="1474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  <w:rPr>
        <w:rFonts w:hint="eastAsia" w:ascii="Times New Roman" w:hAnsi="Times New Roman" w:eastAsia="宋体" w:cs="Times New Roman"/>
        <w:sz w:val="28"/>
        <w:szCs w:val="28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jc w:val="both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15" w:leftChars="150" w:right="315" w:rightChars="150"/>
                      <w:jc w:val="both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  <w:rPr>
        <w:rFonts w:hint="eastAsia" w:ascii="Times New Roman" w:hAnsi="Times New Roman" w:eastAsia="宋体" w:cs="Times New Roman"/>
        <w:sz w:val="28"/>
        <w:szCs w:val="28"/>
        <w:lang w:val="en-US" w:eastAsia="zh-CN"/>
      </w:rPr>
    </w:pP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18981"/>
    <w:multiLevelType w:val="singleLevel"/>
    <w:tmpl w:val="84318981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02E5569"/>
    <w:multiLevelType w:val="singleLevel"/>
    <w:tmpl w:val="B02E5569"/>
    <w:lvl w:ilvl="0" w:tentative="0">
      <w:start w:val="2"/>
      <w:numFmt w:val="decimal"/>
      <w:suff w:val="space"/>
      <w:lvlText w:val="%1."/>
      <w:lvlJc w:val="left"/>
      <w:pPr>
        <w:ind w:left="1600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OWNjNTlmZWQ1ZmIyMGI2NWQzZWYwZjU3YzVhYmMifQ=="/>
  </w:docVars>
  <w:rsids>
    <w:rsidRoot w:val="5F420B2A"/>
    <w:rsid w:val="00621C19"/>
    <w:rsid w:val="00AE4E5E"/>
    <w:rsid w:val="013E61E2"/>
    <w:rsid w:val="021F0C16"/>
    <w:rsid w:val="022343E1"/>
    <w:rsid w:val="02247ACE"/>
    <w:rsid w:val="02D1332B"/>
    <w:rsid w:val="02DF39F5"/>
    <w:rsid w:val="03280EF8"/>
    <w:rsid w:val="03463A74"/>
    <w:rsid w:val="036363D4"/>
    <w:rsid w:val="03996320"/>
    <w:rsid w:val="03B1713F"/>
    <w:rsid w:val="040F3E66"/>
    <w:rsid w:val="042C2C6A"/>
    <w:rsid w:val="049F3CA4"/>
    <w:rsid w:val="05E57574"/>
    <w:rsid w:val="063C4113"/>
    <w:rsid w:val="06F2019A"/>
    <w:rsid w:val="079B5FAE"/>
    <w:rsid w:val="081B102B"/>
    <w:rsid w:val="08F57ACE"/>
    <w:rsid w:val="09626450"/>
    <w:rsid w:val="098F785E"/>
    <w:rsid w:val="09926C3F"/>
    <w:rsid w:val="09A11A04"/>
    <w:rsid w:val="0A913826"/>
    <w:rsid w:val="0AAA48E8"/>
    <w:rsid w:val="0B9F3D21"/>
    <w:rsid w:val="0C476893"/>
    <w:rsid w:val="0C655925"/>
    <w:rsid w:val="0C833643"/>
    <w:rsid w:val="0C8E2713"/>
    <w:rsid w:val="0D576FA9"/>
    <w:rsid w:val="0D58062B"/>
    <w:rsid w:val="0DD30995"/>
    <w:rsid w:val="0DF854CB"/>
    <w:rsid w:val="0E0B09F9"/>
    <w:rsid w:val="0E2055ED"/>
    <w:rsid w:val="0ED62150"/>
    <w:rsid w:val="0F360E40"/>
    <w:rsid w:val="11407D54"/>
    <w:rsid w:val="11736A29"/>
    <w:rsid w:val="117417AC"/>
    <w:rsid w:val="11800EBA"/>
    <w:rsid w:val="1279351E"/>
    <w:rsid w:val="12875C20"/>
    <w:rsid w:val="12A3059B"/>
    <w:rsid w:val="12AE5D72"/>
    <w:rsid w:val="12B96010"/>
    <w:rsid w:val="13963C5C"/>
    <w:rsid w:val="13C92283"/>
    <w:rsid w:val="13E76BAD"/>
    <w:rsid w:val="14DD3F69"/>
    <w:rsid w:val="155913E5"/>
    <w:rsid w:val="15E636C9"/>
    <w:rsid w:val="16921BFA"/>
    <w:rsid w:val="16B66FB2"/>
    <w:rsid w:val="17410382"/>
    <w:rsid w:val="177D585E"/>
    <w:rsid w:val="18253800"/>
    <w:rsid w:val="18585984"/>
    <w:rsid w:val="1906629D"/>
    <w:rsid w:val="191065C7"/>
    <w:rsid w:val="19CE23A1"/>
    <w:rsid w:val="1A4F24A0"/>
    <w:rsid w:val="1A6E6A53"/>
    <w:rsid w:val="1AD734D7"/>
    <w:rsid w:val="1AE3548A"/>
    <w:rsid w:val="1B5C578B"/>
    <w:rsid w:val="1C2269D4"/>
    <w:rsid w:val="1CDB6B83"/>
    <w:rsid w:val="1D077978"/>
    <w:rsid w:val="1D277FE7"/>
    <w:rsid w:val="1D8C6A41"/>
    <w:rsid w:val="1F334A54"/>
    <w:rsid w:val="1F64439F"/>
    <w:rsid w:val="1F68136E"/>
    <w:rsid w:val="20256A93"/>
    <w:rsid w:val="205D622D"/>
    <w:rsid w:val="20A06EA1"/>
    <w:rsid w:val="20BB73F7"/>
    <w:rsid w:val="20F200CB"/>
    <w:rsid w:val="213037BB"/>
    <w:rsid w:val="216D6944"/>
    <w:rsid w:val="217D0E2D"/>
    <w:rsid w:val="21954C46"/>
    <w:rsid w:val="21DA0EB4"/>
    <w:rsid w:val="22544E98"/>
    <w:rsid w:val="22BC351E"/>
    <w:rsid w:val="2484390C"/>
    <w:rsid w:val="252D7C9D"/>
    <w:rsid w:val="257B0F03"/>
    <w:rsid w:val="25850F5F"/>
    <w:rsid w:val="26414073"/>
    <w:rsid w:val="267F67D1"/>
    <w:rsid w:val="275A43D0"/>
    <w:rsid w:val="28414686"/>
    <w:rsid w:val="287E4F92"/>
    <w:rsid w:val="28AB565D"/>
    <w:rsid w:val="2A9817E1"/>
    <w:rsid w:val="2B2A31B0"/>
    <w:rsid w:val="2B4716A0"/>
    <w:rsid w:val="2B914CBD"/>
    <w:rsid w:val="2C8132E4"/>
    <w:rsid w:val="2CB53C16"/>
    <w:rsid w:val="2D3447B9"/>
    <w:rsid w:val="2D4D13D7"/>
    <w:rsid w:val="2EB27B21"/>
    <w:rsid w:val="2F171C9D"/>
    <w:rsid w:val="2F6A001E"/>
    <w:rsid w:val="2FD63906"/>
    <w:rsid w:val="30C16223"/>
    <w:rsid w:val="30DD0CC4"/>
    <w:rsid w:val="319C0B7F"/>
    <w:rsid w:val="3260395B"/>
    <w:rsid w:val="332E1CAB"/>
    <w:rsid w:val="33A87367"/>
    <w:rsid w:val="34360E17"/>
    <w:rsid w:val="34545741"/>
    <w:rsid w:val="34586FDF"/>
    <w:rsid w:val="34607C42"/>
    <w:rsid w:val="34731C75"/>
    <w:rsid w:val="34963F1D"/>
    <w:rsid w:val="349E73C3"/>
    <w:rsid w:val="34CB7F77"/>
    <w:rsid w:val="35A85D44"/>
    <w:rsid w:val="36010FB1"/>
    <w:rsid w:val="36631C6B"/>
    <w:rsid w:val="36AF4EB1"/>
    <w:rsid w:val="373625B4"/>
    <w:rsid w:val="37AE5168"/>
    <w:rsid w:val="39785A2E"/>
    <w:rsid w:val="398839EE"/>
    <w:rsid w:val="39BA4298"/>
    <w:rsid w:val="39FB6EA9"/>
    <w:rsid w:val="3A6B7341"/>
    <w:rsid w:val="3ABC194A"/>
    <w:rsid w:val="3AF550E9"/>
    <w:rsid w:val="3B2229C5"/>
    <w:rsid w:val="3B4016D6"/>
    <w:rsid w:val="3B9C3C56"/>
    <w:rsid w:val="3CA4445A"/>
    <w:rsid w:val="3CBA4554"/>
    <w:rsid w:val="3D5F55F4"/>
    <w:rsid w:val="3DAA0180"/>
    <w:rsid w:val="3E135D25"/>
    <w:rsid w:val="3ED100BA"/>
    <w:rsid w:val="3EFB0C93"/>
    <w:rsid w:val="3FCF413E"/>
    <w:rsid w:val="3FEC4A80"/>
    <w:rsid w:val="40482E55"/>
    <w:rsid w:val="406B1E48"/>
    <w:rsid w:val="40EE65D6"/>
    <w:rsid w:val="41666FD7"/>
    <w:rsid w:val="41A73077"/>
    <w:rsid w:val="41E870EB"/>
    <w:rsid w:val="42C359AA"/>
    <w:rsid w:val="43CE2E1A"/>
    <w:rsid w:val="44511355"/>
    <w:rsid w:val="44D0697F"/>
    <w:rsid w:val="453C0257"/>
    <w:rsid w:val="462F542D"/>
    <w:rsid w:val="46AF3CE3"/>
    <w:rsid w:val="46BF7799"/>
    <w:rsid w:val="479C7295"/>
    <w:rsid w:val="47E524E0"/>
    <w:rsid w:val="4847319B"/>
    <w:rsid w:val="48691363"/>
    <w:rsid w:val="48945CB4"/>
    <w:rsid w:val="489839F7"/>
    <w:rsid w:val="48DF167F"/>
    <w:rsid w:val="493E459E"/>
    <w:rsid w:val="495A69EA"/>
    <w:rsid w:val="4A0829C7"/>
    <w:rsid w:val="4B017053"/>
    <w:rsid w:val="4B783F5F"/>
    <w:rsid w:val="4BA80317"/>
    <w:rsid w:val="4CB92733"/>
    <w:rsid w:val="4CFB09F8"/>
    <w:rsid w:val="4D0D18D2"/>
    <w:rsid w:val="4DAF745E"/>
    <w:rsid w:val="4EA74993"/>
    <w:rsid w:val="4EB418E3"/>
    <w:rsid w:val="50163700"/>
    <w:rsid w:val="50680152"/>
    <w:rsid w:val="508541C0"/>
    <w:rsid w:val="52020133"/>
    <w:rsid w:val="53852DC9"/>
    <w:rsid w:val="539B439B"/>
    <w:rsid w:val="53C41B44"/>
    <w:rsid w:val="53E31BF5"/>
    <w:rsid w:val="53F306B5"/>
    <w:rsid w:val="542E520F"/>
    <w:rsid w:val="544E6F4D"/>
    <w:rsid w:val="546724CF"/>
    <w:rsid w:val="547C41CC"/>
    <w:rsid w:val="54CE417F"/>
    <w:rsid w:val="54F75F49"/>
    <w:rsid w:val="557A6DB6"/>
    <w:rsid w:val="55D342C0"/>
    <w:rsid w:val="55D94EB3"/>
    <w:rsid w:val="55E66D84"/>
    <w:rsid w:val="561843C9"/>
    <w:rsid w:val="56BC2FA6"/>
    <w:rsid w:val="56C93DF1"/>
    <w:rsid w:val="575E2DBF"/>
    <w:rsid w:val="5870229A"/>
    <w:rsid w:val="591A2BA2"/>
    <w:rsid w:val="59FD7B5D"/>
    <w:rsid w:val="5A0C7DA1"/>
    <w:rsid w:val="5A114488"/>
    <w:rsid w:val="5ABA15AB"/>
    <w:rsid w:val="5AFF3461"/>
    <w:rsid w:val="5B745BFD"/>
    <w:rsid w:val="5B7756EE"/>
    <w:rsid w:val="5B833FFC"/>
    <w:rsid w:val="5C011AA4"/>
    <w:rsid w:val="5CDA5F34"/>
    <w:rsid w:val="5D5A7075"/>
    <w:rsid w:val="5D6B3030"/>
    <w:rsid w:val="5D786ECF"/>
    <w:rsid w:val="5DB81A95"/>
    <w:rsid w:val="5DC94EED"/>
    <w:rsid w:val="5E550337"/>
    <w:rsid w:val="5E9A430E"/>
    <w:rsid w:val="5EC56770"/>
    <w:rsid w:val="5ED35331"/>
    <w:rsid w:val="5F420B2A"/>
    <w:rsid w:val="5F5F4E16"/>
    <w:rsid w:val="603B4F3C"/>
    <w:rsid w:val="60FF3519"/>
    <w:rsid w:val="60FF7953"/>
    <w:rsid w:val="61720E31"/>
    <w:rsid w:val="6211064A"/>
    <w:rsid w:val="621748AF"/>
    <w:rsid w:val="63660521"/>
    <w:rsid w:val="63780255"/>
    <w:rsid w:val="6405096A"/>
    <w:rsid w:val="640E2A8B"/>
    <w:rsid w:val="64AB59C8"/>
    <w:rsid w:val="64CC2606"/>
    <w:rsid w:val="65107123"/>
    <w:rsid w:val="65B03CD6"/>
    <w:rsid w:val="662071F7"/>
    <w:rsid w:val="66282842"/>
    <w:rsid w:val="66884C53"/>
    <w:rsid w:val="672F49DA"/>
    <w:rsid w:val="67A71109"/>
    <w:rsid w:val="67AE750B"/>
    <w:rsid w:val="680E73DA"/>
    <w:rsid w:val="68430937"/>
    <w:rsid w:val="684626D0"/>
    <w:rsid w:val="6861075F"/>
    <w:rsid w:val="68D44600"/>
    <w:rsid w:val="68F91E38"/>
    <w:rsid w:val="699F29DF"/>
    <w:rsid w:val="69E403F2"/>
    <w:rsid w:val="6A044156"/>
    <w:rsid w:val="6A152CA1"/>
    <w:rsid w:val="6AA74091"/>
    <w:rsid w:val="6AD3024F"/>
    <w:rsid w:val="6BB362CE"/>
    <w:rsid w:val="6C354F35"/>
    <w:rsid w:val="6CAE6A95"/>
    <w:rsid w:val="6D655CEE"/>
    <w:rsid w:val="6DA560EA"/>
    <w:rsid w:val="6DCA3DA3"/>
    <w:rsid w:val="6DDD7C5D"/>
    <w:rsid w:val="6E5B2C4D"/>
    <w:rsid w:val="6F12155D"/>
    <w:rsid w:val="6F5C1484"/>
    <w:rsid w:val="6F6618A9"/>
    <w:rsid w:val="6FB865A9"/>
    <w:rsid w:val="6FBB07A2"/>
    <w:rsid w:val="704955D7"/>
    <w:rsid w:val="709366CE"/>
    <w:rsid w:val="717C53B4"/>
    <w:rsid w:val="71A96953"/>
    <w:rsid w:val="71CA1791"/>
    <w:rsid w:val="7231188B"/>
    <w:rsid w:val="723174DD"/>
    <w:rsid w:val="72D60AF4"/>
    <w:rsid w:val="7372081D"/>
    <w:rsid w:val="73940D19"/>
    <w:rsid w:val="7479207F"/>
    <w:rsid w:val="74823F04"/>
    <w:rsid w:val="74DB0643"/>
    <w:rsid w:val="74FF5C88"/>
    <w:rsid w:val="750773C2"/>
    <w:rsid w:val="770245AD"/>
    <w:rsid w:val="775546DD"/>
    <w:rsid w:val="77AD4687"/>
    <w:rsid w:val="77B2433E"/>
    <w:rsid w:val="79312F28"/>
    <w:rsid w:val="795073E0"/>
    <w:rsid w:val="79DD6C0C"/>
    <w:rsid w:val="7A401675"/>
    <w:rsid w:val="7B242D44"/>
    <w:rsid w:val="7B42766E"/>
    <w:rsid w:val="7B4B6C8D"/>
    <w:rsid w:val="7B8732D3"/>
    <w:rsid w:val="7C036DFE"/>
    <w:rsid w:val="7C2823C0"/>
    <w:rsid w:val="7D252DA4"/>
    <w:rsid w:val="7DE40569"/>
    <w:rsid w:val="7F0025AA"/>
    <w:rsid w:val="7F12000D"/>
    <w:rsid w:val="7FC5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ind w:firstLine="200" w:firstLineChars="200"/>
    </w:pPr>
    <w:rPr>
      <w:sz w:val="28"/>
      <w:szCs w:val="28"/>
    </w:rPr>
  </w:style>
  <w:style w:type="paragraph" w:styleId="3">
    <w:name w:val="Body Text Indent"/>
    <w:basedOn w:val="1"/>
    <w:next w:val="1"/>
    <w:qFormat/>
    <w:uiPriority w:val="99"/>
    <w:pPr>
      <w:spacing w:line="570" w:lineRule="exact"/>
      <w:ind w:firstLine="616" w:firstLineChars="200"/>
    </w:pPr>
    <w:rPr>
      <w:spacing w:val="-6"/>
    </w:rPr>
  </w:style>
  <w:style w:type="paragraph" w:styleId="4">
    <w:name w:val="index 8"/>
    <w:basedOn w:val="1"/>
    <w:next w:val="1"/>
    <w:qFormat/>
    <w:uiPriority w:val="0"/>
    <w:pPr>
      <w:ind w:left="2940"/>
    </w:pPr>
  </w:style>
  <w:style w:type="paragraph" w:styleId="5">
    <w:name w:val="Body Text"/>
    <w:basedOn w:val="1"/>
    <w:next w:val="6"/>
    <w:qFormat/>
    <w:uiPriority w:val="0"/>
  </w:style>
  <w:style w:type="paragraph" w:styleId="6">
    <w:name w:val="header"/>
    <w:basedOn w:val="1"/>
    <w:next w:val="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0">
    <w:name w:val="font2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11"/>
    <w:basedOn w:val="9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0"/>
      <w:szCs w:val="20"/>
      <w:u w:val="none"/>
    </w:rPr>
  </w:style>
  <w:style w:type="character" w:customStyle="1" w:styleId="12">
    <w:name w:val="font41"/>
    <w:basedOn w:val="9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  <w:style w:type="paragraph" w:customStyle="1" w:styleId="13">
    <w:name w:val="新华正文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3708</Words>
  <Characters>4051</Characters>
  <Lines>0</Lines>
  <Paragraphs>0</Paragraphs>
  <TotalTime>2</TotalTime>
  <ScaleCrop>false</ScaleCrop>
  <LinksUpToDate>false</LinksUpToDate>
  <CharactersWithSpaces>4100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2025-03-10T02:13:00Z</dcterms:created>
  <dc:creator>麦芽</dc:creator>
  <cp:lastModifiedBy>小浣熊</cp:lastModifiedBy>
  <cp:lastPrinted>2025-04-27T02:37:00Z</cp:lastPrinted>
  <dcterms:modified xsi:type="dcterms:W3CDTF">2025-07-11T07:44:28Z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9C53A4E3461F47D1B2106AC2FF132BD5_13</vt:lpwstr>
  </property>
  <property fmtid="{D5CDD505-2E9C-101B-9397-08002B2CF9AE}" pid="4" name="KSOTemplateDocerSaveRecord">
    <vt:lpwstr>eyJoZGlkIjoiMjEyZjk2NzM5ZjYyMDY5NTEyZTk1MTU5NDQ0NzZiZGMiLCJ1c2VySWQiOiI0MDg4OTg0NzIifQ==</vt:lpwstr>
  </property>
</Properties>
</file>